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519E5" w14:textId="77777777" w:rsidR="00175876" w:rsidRPr="008C37C5" w:rsidRDefault="00175876" w:rsidP="008C37C5">
      <w:pPr>
        <w:ind w:left="720"/>
        <w:jc w:val="center"/>
        <w:rPr>
          <w:rFonts w:ascii="Cambria Math" w:hAnsi="Cambria Math" w:cs="Calibri"/>
          <w:b/>
        </w:rPr>
      </w:pPr>
      <w:r w:rsidRPr="008C37C5">
        <w:rPr>
          <w:rFonts w:ascii="Cambria Math" w:hAnsi="Cambria Math" w:cs="Calibri"/>
          <w:b/>
        </w:rPr>
        <w:tab/>
      </w:r>
    </w:p>
    <w:p w14:paraId="672F2CD9" w14:textId="77777777" w:rsidR="006B4AF5" w:rsidRPr="008C37C5" w:rsidRDefault="006B4AF5" w:rsidP="00175876">
      <w:pPr>
        <w:jc w:val="center"/>
        <w:rPr>
          <w:rFonts w:ascii="Cambria Math" w:hAnsi="Cambria Math" w:cs="Calibri"/>
          <w:b/>
        </w:rPr>
      </w:pPr>
    </w:p>
    <w:p w14:paraId="17D865B0" w14:textId="77777777" w:rsidR="00175876" w:rsidRPr="008C37C5" w:rsidRDefault="00DA0054" w:rsidP="008C37C5">
      <w:pPr>
        <w:jc w:val="center"/>
        <w:rPr>
          <w:rFonts w:ascii="Cambria Math" w:hAnsi="Cambria Math" w:cs="Calibri"/>
          <w:b/>
          <w:lang w:val="hu-HU"/>
        </w:rPr>
      </w:pPr>
      <w:r w:rsidRPr="008C37C5">
        <w:rPr>
          <w:rFonts w:ascii="Cambria Math" w:hAnsi="Cambria Math" w:cs="Calibri"/>
          <w:b/>
          <w:lang w:val="hu-HU"/>
        </w:rPr>
        <w:t>SZÉKELYUDVARHELY MEGYEI JOGÚ VÁROS POLGÁRMESTERI HIVATALA SZEMÉLYZET</w:t>
      </w:r>
      <w:r w:rsidR="008C37C5" w:rsidRPr="008C37C5">
        <w:rPr>
          <w:rFonts w:ascii="Cambria Math" w:hAnsi="Cambria Math" w:cs="Calibri"/>
          <w:b/>
          <w:lang w:val="hu-HU"/>
        </w:rPr>
        <w:t>ÉNEK</w:t>
      </w:r>
      <w:r w:rsidR="008C37C5">
        <w:rPr>
          <w:rFonts w:ascii="Cambria Math" w:hAnsi="Cambria Math" w:cs="Calibri"/>
          <w:b/>
          <w:lang w:val="hu-HU"/>
        </w:rPr>
        <w:t xml:space="preserve"> ETIKAI ÉS FEDDHETETLENSÉGI</w:t>
      </w:r>
      <w:r w:rsidR="008E7E4C" w:rsidRPr="008C37C5">
        <w:rPr>
          <w:rFonts w:ascii="Cambria Math" w:hAnsi="Cambria Math" w:cs="Calibri"/>
          <w:b/>
          <w:lang w:val="hu-HU"/>
        </w:rPr>
        <w:t xml:space="preserve"> KÓDEXE</w:t>
      </w:r>
    </w:p>
    <w:tbl>
      <w:tblPr>
        <w:tblW w:w="1004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6999"/>
      </w:tblGrid>
      <w:tr w:rsidR="00175876" w:rsidRPr="008C37C5" w14:paraId="21E5F9C0" w14:textId="77777777" w:rsidTr="000F2C81">
        <w:tc>
          <w:tcPr>
            <w:tcW w:w="10045" w:type="dxa"/>
            <w:gridSpan w:val="2"/>
            <w:shd w:val="clear" w:color="auto" w:fill="auto"/>
          </w:tcPr>
          <w:p w14:paraId="63C1D725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Cambria Math" w:hAnsi="Cambria Math" w:cs="Calibri"/>
                <w:b/>
                <w:i/>
                <w:lang w:val="hu-HU"/>
              </w:rPr>
            </w:pPr>
          </w:p>
          <w:p w14:paraId="1E6787DA" w14:textId="77777777" w:rsidR="00175876" w:rsidRPr="008C37C5" w:rsidRDefault="001A7B13" w:rsidP="000F2C81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Bevezetés </w:t>
            </w:r>
          </w:p>
          <w:p w14:paraId="04D36EC5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Cambria Math" w:hAnsi="Cambria Math" w:cs="Calibri"/>
                <w:b/>
                <w:i/>
                <w:lang w:val="hu-HU"/>
              </w:rPr>
            </w:pPr>
          </w:p>
          <w:p w14:paraId="3E4D345D" w14:textId="77777777" w:rsidR="00175876" w:rsidRPr="008C37C5" w:rsidRDefault="006B4AF5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Tevékenységünket egy jó hírnévvel rendelkező és jelentős feladatköröket ellátó intézményben végezzük, Szék</w:t>
            </w:r>
            <w:r w:rsidR="004629DD">
              <w:rPr>
                <w:rFonts w:ascii="Cambria Math" w:hAnsi="Cambria Math" w:cs="Calibri"/>
                <w:lang w:val="hu-HU"/>
              </w:rPr>
              <w:t>elyudvar</w:t>
            </w:r>
            <w:r w:rsidRPr="008C37C5">
              <w:rPr>
                <w:rFonts w:ascii="Cambria Math" w:hAnsi="Cambria Math" w:cs="Calibri"/>
                <w:lang w:val="hu-HU"/>
              </w:rPr>
              <w:t>hely</w:t>
            </w:r>
            <w:r w:rsidR="005624CE">
              <w:rPr>
                <w:rFonts w:ascii="Cambria Math" w:hAnsi="Cambria Math" w:cs="Calibri"/>
                <w:lang w:val="hu-HU"/>
              </w:rPr>
              <w:t xml:space="preserve"> Megyei Jogú Város szintjén és az intézmény</w:t>
            </w:r>
            <w:r w:rsidR="00CF74F1" w:rsidRPr="008C37C5">
              <w:rPr>
                <w:rFonts w:ascii="Cambria Math" w:hAnsi="Cambria Math" w:cs="Calibri"/>
                <w:lang w:val="hu-HU"/>
              </w:rPr>
              <w:t xml:space="preserve"> hírnevének fenntartása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min</w:t>
            </w:r>
            <w:r w:rsidR="008C37C5">
              <w:rPr>
                <w:rFonts w:ascii="Cambria Math" w:hAnsi="Cambria Math" w:cs="Calibri"/>
                <w:lang w:val="hu-HU"/>
              </w:rPr>
              <w:t>d</w:t>
            </w:r>
            <w:r w:rsidRPr="008C37C5">
              <w:rPr>
                <w:rFonts w:ascii="Cambria Math" w:hAnsi="Cambria Math" w:cs="Calibri"/>
                <w:lang w:val="hu-HU"/>
              </w:rPr>
              <w:t xml:space="preserve">egyikünk számára kiemelten fontos. </w:t>
            </w:r>
            <w:r w:rsidR="00CF74F1" w:rsidRPr="008C37C5">
              <w:rPr>
                <w:rFonts w:ascii="Cambria Math" w:hAnsi="Cambria Math" w:cs="Calibri"/>
                <w:lang w:val="hu-HU"/>
              </w:rPr>
              <w:t xml:space="preserve">Tevékenységünk minőségét az általunk végrehajtott valamennyi tevékenységgel szembeni őszinteségünk és </w:t>
            </w:r>
            <w:r w:rsidR="004629DD">
              <w:rPr>
                <w:rFonts w:ascii="Cambria Math" w:hAnsi="Cambria Math" w:cs="Calibri"/>
                <w:lang w:val="hu-HU"/>
              </w:rPr>
              <w:t xml:space="preserve">feddhetetlenségünk </w:t>
            </w:r>
            <w:r w:rsidR="00CF74F1" w:rsidRPr="008C37C5">
              <w:rPr>
                <w:rFonts w:ascii="Cambria Math" w:hAnsi="Cambria Math" w:cs="Calibri"/>
                <w:lang w:val="hu-HU"/>
              </w:rPr>
              <w:t xml:space="preserve">révén biztosítjuk. </w:t>
            </w:r>
          </w:p>
          <w:p w14:paraId="32DEA17D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</w:p>
        </w:tc>
      </w:tr>
      <w:tr w:rsidR="00175876" w:rsidRPr="008C37C5" w14:paraId="2DDD5DFD" w14:textId="77777777" w:rsidTr="000F2C81">
        <w:tc>
          <w:tcPr>
            <w:tcW w:w="3046" w:type="dxa"/>
            <w:shd w:val="clear" w:color="auto" w:fill="auto"/>
          </w:tcPr>
          <w:p w14:paraId="0EAAFD37" w14:textId="77777777" w:rsidR="00175876" w:rsidRPr="008C37C5" w:rsidRDefault="00CF74F1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Mi az etikai és </w:t>
            </w:r>
            <w:r w:rsidR="004629DD">
              <w:rPr>
                <w:rFonts w:ascii="Cambria Math" w:hAnsi="Cambria Math" w:cs="Calibri"/>
                <w:b/>
                <w:i/>
                <w:lang w:val="hu-HU"/>
              </w:rPr>
              <w:t>feddhetetlenségi</w:t>
            </w: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kódex és kinek szól?</w:t>
            </w:r>
          </w:p>
          <w:p w14:paraId="50C0DEE0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b/>
                <w:i/>
                <w:lang w:val="hu-HU"/>
              </w:rPr>
            </w:pPr>
          </w:p>
        </w:tc>
        <w:tc>
          <w:tcPr>
            <w:tcW w:w="6999" w:type="dxa"/>
            <w:shd w:val="clear" w:color="auto" w:fill="auto"/>
          </w:tcPr>
          <w:p w14:paraId="1233248C" w14:textId="77777777" w:rsidR="00175876" w:rsidRPr="008C37C5" w:rsidRDefault="004629DD" w:rsidP="000F2C81">
            <w:pPr>
              <w:pStyle w:val="ListParagraph"/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b/>
                <w:lang w:val="hu-HU"/>
              </w:rPr>
              <w:t>Az Etikai és Feddhetetlenségi</w:t>
            </w:r>
            <w:r w:rsidR="00CF74F1" w:rsidRPr="008C37C5">
              <w:rPr>
                <w:rFonts w:ascii="Cambria Math" w:hAnsi="Cambria Math" w:cs="Calibri"/>
                <w:b/>
                <w:lang w:val="hu-HU"/>
              </w:rPr>
              <w:t xml:space="preserve"> Kódex</w:t>
            </w:r>
            <w:r w:rsidR="00CF74F1" w:rsidRPr="008C37C5">
              <w:rPr>
                <w:rFonts w:ascii="Cambria Math" w:hAnsi="Cambria Math" w:cs="Calibri"/>
                <w:lang w:val="hu-HU"/>
              </w:rPr>
              <w:t xml:space="preserve"> (a továbbiakban: Kódex) olyan erkölcsi </w:t>
            </w:r>
            <w:r w:rsidR="00C32CCB" w:rsidRPr="008C37C5">
              <w:rPr>
                <w:rFonts w:ascii="Cambria Math" w:hAnsi="Cambria Math" w:cs="Calibri"/>
                <w:lang w:val="hu-HU"/>
              </w:rPr>
              <w:t>irány</w:t>
            </w:r>
            <w:r w:rsidR="00CF74F1" w:rsidRPr="008C37C5">
              <w:rPr>
                <w:rFonts w:ascii="Cambria Math" w:hAnsi="Cambria Math" w:cs="Calibri"/>
                <w:lang w:val="hu-HU"/>
              </w:rPr>
              <w:t>elveket és szabályokat állapít meg, amely</w:t>
            </w:r>
            <w:r w:rsidR="00C32CCB" w:rsidRPr="008C37C5">
              <w:rPr>
                <w:rFonts w:ascii="Cambria Math" w:hAnsi="Cambria Math" w:cs="Calibri"/>
                <w:lang w:val="hu-HU"/>
              </w:rPr>
              <w:t>ek hatálya alá tartozik Székelyudvarhely Megyei Jogú Város Polgármesteri Hivatalának valamennyi tisztségviselője,</w:t>
            </w:r>
            <w:r w:rsidR="00CF74F1" w:rsidRPr="008C37C5">
              <w:rPr>
                <w:rFonts w:ascii="Cambria Math" w:hAnsi="Cambria Math" w:cs="Calibri"/>
                <w:lang w:val="hu-HU"/>
              </w:rPr>
              <w:t xml:space="preserve"> köztisztviselője és szerződéses alkalmazottja</w:t>
            </w:r>
            <w:r w:rsidR="00C32CCB" w:rsidRPr="008C37C5">
              <w:rPr>
                <w:rFonts w:ascii="Cambria Math" w:hAnsi="Cambria Math" w:cs="Calibri"/>
                <w:lang w:val="hu-HU"/>
              </w:rPr>
              <w:t xml:space="preserve"> (a továbbiakban: a személyzet). </w:t>
            </w:r>
          </w:p>
          <w:p w14:paraId="4F0DDB49" w14:textId="77777777" w:rsidR="00175876" w:rsidRPr="008C37C5" w:rsidRDefault="00C32CCB" w:rsidP="000F2C81">
            <w:pPr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A Kódex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semmiképpen nem helyettesíti a közigazgatás területén alkalmazandó jogalkotási aktusokat és szabályokat, hanem kiegészíti azokat.</w:t>
            </w:r>
          </w:p>
          <w:p w14:paraId="61A263D9" w14:textId="77777777" w:rsidR="00175876" w:rsidRPr="008C37C5" w:rsidRDefault="00175876" w:rsidP="000F2C81">
            <w:pPr>
              <w:jc w:val="both"/>
              <w:rPr>
                <w:rFonts w:ascii="Cambria Math" w:hAnsi="Cambria Math" w:cs="Calibri"/>
                <w:b/>
                <w:lang w:val="hu-HU"/>
              </w:rPr>
            </w:pPr>
          </w:p>
        </w:tc>
      </w:tr>
      <w:tr w:rsidR="00175876" w:rsidRPr="008C37C5" w14:paraId="296D97DB" w14:textId="77777777" w:rsidTr="000F2C81">
        <w:tc>
          <w:tcPr>
            <w:tcW w:w="3046" w:type="dxa"/>
            <w:shd w:val="clear" w:color="auto" w:fill="auto"/>
          </w:tcPr>
          <w:p w14:paraId="206B8ACE" w14:textId="77777777" w:rsidR="00175876" w:rsidRPr="008C37C5" w:rsidRDefault="007C3C3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Cél</w:t>
            </w:r>
            <w:r w:rsidR="00FE312B" w:rsidRPr="008C37C5">
              <w:rPr>
                <w:rFonts w:ascii="Cambria Math" w:hAnsi="Cambria Math" w:cs="Calibri"/>
                <w:b/>
                <w:i/>
                <w:lang w:val="hu-HU"/>
              </w:rPr>
              <w:t>unk</w:t>
            </w:r>
          </w:p>
        </w:tc>
        <w:tc>
          <w:tcPr>
            <w:tcW w:w="6999" w:type="dxa"/>
            <w:shd w:val="clear" w:color="auto" w:fill="auto"/>
          </w:tcPr>
          <w:p w14:paraId="58B8B6C8" w14:textId="77777777" w:rsidR="00175876" w:rsidRPr="008C37C5" w:rsidRDefault="007C3C38" w:rsidP="000F2C81">
            <w:pPr>
              <w:pStyle w:val="ListParagraph"/>
              <w:tabs>
                <w:tab w:val="left" w:pos="0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Célunk </w:t>
            </w:r>
            <w:r w:rsidR="00FE312B" w:rsidRPr="008C37C5">
              <w:rPr>
                <w:rFonts w:ascii="Cambria Math" w:hAnsi="Cambria Math" w:cs="Calibri"/>
                <w:lang w:val="hu-HU"/>
              </w:rPr>
              <w:t>az értékeken alapuló szervezeti kultúr</w:t>
            </w:r>
            <w:r w:rsidR="004629DD">
              <w:rPr>
                <w:rFonts w:ascii="Cambria Math" w:hAnsi="Cambria Math" w:cs="Calibri"/>
                <w:lang w:val="hu-HU"/>
              </w:rPr>
              <w:t>a, illetve</w:t>
            </w:r>
            <w:r w:rsidR="00FE312B" w:rsidRPr="008C37C5">
              <w:rPr>
                <w:rFonts w:ascii="Cambria Math" w:hAnsi="Cambria Math" w:cs="Calibri"/>
                <w:lang w:val="hu-HU"/>
              </w:rPr>
              <w:t xml:space="preserve"> a szakmai tevékenységek</w:t>
            </w:r>
            <w:r w:rsidR="004629DD">
              <w:rPr>
                <w:rFonts w:ascii="Cambria Math" w:hAnsi="Cambria Math" w:cs="Calibri"/>
                <w:lang w:val="hu-HU"/>
              </w:rPr>
              <w:t>nek megfelelő etikai légkör</w:t>
            </w:r>
            <w:r w:rsidR="00FE312B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1C5122">
              <w:rPr>
                <w:rFonts w:ascii="Cambria Math" w:hAnsi="Cambria Math" w:cs="Calibri"/>
                <w:lang w:val="hu-HU"/>
              </w:rPr>
              <w:t>megteremtése</w:t>
            </w:r>
            <w:r w:rsidR="00FE312B" w:rsidRPr="008C37C5">
              <w:rPr>
                <w:rFonts w:ascii="Cambria Math" w:hAnsi="Cambria Math" w:cs="Calibri"/>
                <w:lang w:val="hu-HU"/>
              </w:rPr>
              <w:t xml:space="preserve">.  </w:t>
            </w:r>
          </w:p>
          <w:p w14:paraId="41490E78" w14:textId="77777777" w:rsidR="00175876" w:rsidRPr="008C37C5" w:rsidRDefault="004629DD" w:rsidP="00482C17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>Célunk</w:t>
            </w:r>
            <w:r w:rsidR="00E57900" w:rsidRPr="008C37C5">
              <w:rPr>
                <w:rFonts w:ascii="Cambria Math" w:hAnsi="Cambria Math" w:cs="Calibri"/>
                <w:lang w:val="hu-HU"/>
              </w:rPr>
              <w:t xml:space="preserve"> továbbá, az etikai </w:t>
            </w:r>
            <w:r w:rsidR="00482C17" w:rsidRPr="008C37C5">
              <w:rPr>
                <w:rFonts w:ascii="Cambria Math" w:hAnsi="Cambria Math" w:cs="Calibri"/>
                <w:lang w:val="hu-HU"/>
              </w:rPr>
              <w:t>szabályoknak</w:t>
            </w:r>
            <w:r w:rsidR="00E57900" w:rsidRPr="008C37C5">
              <w:rPr>
                <w:rFonts w:ascii="Cambria Math" w:hAnsi="Cambria Math" w:cs="Calibri"/>
                <w:lang w:val="hu-HU"/>
              </w:rPr>
              <w:t xml:space="preserve"> nem megfelelő magatartások </w:t>
            </w:r>
            <w:r w:rsidR="002249F1" w:rsidRPr="008C37C5">
              <w:rPr>
                <w:rFonts w:ascii="Cambria Math" w:hAnsi="Cambria Math" w:cs="Calibri"/>
                <w:lang w:val="hu-HU"/>
              </w:rPr>
              <w:t>megakadályo</w:t>
            </w:r>
            <w:r w:rsidR="00E57900" w:rsidRPr="008C37C5">
              <w:rPr>
                <w:rFonts w:ascii="Cambria Math" w:hAnsi="Cambria Math" w:cs="Calibri"/>
                <w:lang w:val="hu-HU"/>
              </w:rPr>
              <w:t>zása</w:t>
            </w:r>
            <w:r w:rsidR="002249F1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5161A8" w:rsidRPr="008C37C5">
              <w:rPr>
                <w:rFonts w:ascii="Cambria Math" w:hAnsi="Cambria Math" w:cs="Calibri"/>
                <w:lang w:val="hu-HU"/>
              </w:rPr>
              <w:t xml:space="preserve">és a </w:t>
            </w:r>
            <w:r w:rsidR="00482C17" w:rsidRPr="008C37C5">
              <w:rPr>
                <w:rFonts w:ascii="Cambria Math" w:hAnsi="Cambria Math" w:cs="Calibri"/>
                <w:lang w:val="hu-HU"/>
              </w:rPr>
              <w:t xml:space="preserve">nyilvánosság tájékoztatása a személyzet részéről elvárt erkölcsi magatartási normákról. </w:t>
            </w:r>
          </w:p>
          <w:p w14:paraId="2ABCD614" w14:textId="77777777" w:rsidR="00482C17" w:rsidRPr="008C37C5" w:rsidRDefault="00482C17" w:rsidP="00B337D5">
            <w:pPr>
              <w:pStyle w:val="ListParagraph"/>
              <w:tabs>
                <w:tab w:val="left" w:pos="142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</w:p>
        </w:tc>
      </w:tr>
      <w:tr w:rsidR="00175876" w:rsidRPr="008C37C5" w14:paraId="498F73C7" w14:textId="77777777" w:rsidTr="000F2C81">
        <w:tc>
          <w:tcPr>
            <w:tcW w:w="3046" w:type="dxa"/>
            <w:shd w:val="clear" w:color="auto" w:fill="auto"/>
          </w:tcPr>
          <w:p w14:paraId="6C67772F" w14:textId="77777777" w:rsidR="00175876" w:rsidRPr="008C37C5" w:rsidRDefault="00482C17" w:rsidP="000F2C81">
            <w:pPr>
              <w:tabs>
                <w:tab w:val="left" w:pos="0"/>
              </w:tabs>
              <w:jc w:val="both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Szabályozási keret</w:t>
            </w:r>
          </w:p>
          <w:p w14:paraId="585442FB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</w:p>
        </w:tc>
        <w:tc>
          <w:tcPr>
            <w:tcW w:w="6999" w:type="dxa"/>
            <w:shd w:val="clear" w:color="auto" w:fill="auto"/>
          </w:tcPr>
          <w:p w14:paraId="339A693B" w14:textId="77777777" w:rsidR="00175876" w:rsidRPr="008C37C5" w:rsidRDefault="00B337D5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az Európai Unió Alapjogi Chartája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45C3D24D" w14:textId="77777777" w:rsidR="00175876" w:rsidRPr="008C37C5" w:rsidRDefault="004629DD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>Románia</w:t>
            </w:r>
            <w:r w:rsidR="00B337D5" w:rsidRPr="008C37C5">
              <w:rPr>
                <w:rFonts w:ascii="Cambria Math" w:hAnsi="Cambria Math" w:cs="Calibri"/>
                <w:lang w:val="hu-HU"/>
              </w:rPr>
              <w:t xml:space="preserve"> Alkotmánya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0467B3F6" w14:textId="77777777" w:rsidR="00175876" w:rsidRPr="008C37C5" w:rsidRDefault="00B337D5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Az utólagos mó</w:t>
            </w:r>
            <w:r w:rsidR="004629DD">
              <w:rPr>
                <w:rFonts w:ascii="Cambria Math" w:hAnsi="Cambria Math" w:cs="Calibri"/>
                <w:lang w:val="hu-HU"/>
              </w:rPr>
              <w:t>dosításokkal és kiegészítésekkel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újraközölt </w:t>
            </w:r>
            <w:r w:rsidR="004629DD">
              <w:rPr>
                <w:rFonts w:ascii="Cambria Math" w:hAnsi="Cambria Math" w:cs="Calibri"/>
                <w:lang w:val="hu-HU"/>
              </w:rPr>
              <w:t>2003/53-as törvény által jóváhagyott Munkat</w:t>
            </w:r>
            <w:r w:rsidR="004A7BF5" w:rsidRPr="008C37C5">
              <w:rPr>
                <w:rFonts w:ascii="Cambria Math" w:hAnsi="Cambria Math" w:cs="Calibri"/>
                <w:lang w:val="hu-HU"/>
              </w:rPr>
              <w:t>örvénykönyv,</w:t>
            </w:r>
          </w:p>
          <w:p w14:paraId="196F8BA2" w14:textId="77777777" w:rsidR="00175876" w:rsidRPr="008C37C5" w:rsidRDefault="004A7BF5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korrupcióellenes cselekmények megelőzéséről, felderítéséről és szankcionálásáról</w:t>
            </w:r>
            <w:r w:rsidR="004629DD">
              <w:rPr>
                <w:rFonts w:ascii="Cambria Math" w:hAnsi="Cambria Math" w:cs="Calibri"/>
                <w:lang w:val="hu-HU"/>
              </w:rPr>
              <w:t xml:space="preserve"> szóló 2000/78-as t</w:t>
            </w:r>
            <w:r w:rsidRPr="008C37C5">
              <w:rPr>
                <w:rFonts w:ascii="Cambria Math" w:hAnsi="Cambria Math" w:cs="Calibri"/>
                <w:lang w:val="hu-HU"/>
              </w:rPr>
              <w:t>örvény, annak utólagos módo</w:t>
            </w:r>
            <w:r w:rsidR="00EE7990">
              <w:rPr>
                <w:rFonts w:ascii="Cambria Math" w:hAnsi="Cambria Math" w:cs="Calibri"/>
                <w:lang w:val="hu-HU"/>
              </w:rPr>
              <w:t>sításaival és kiegészítéseivel;</w:t>
            </w:r>
          </w:p>
          <w:p w14:paraId="674C8038" w14:textId="77777777" w:rsidR="00175876" w:rsidRPr="008C37C5" w:rsidRDefault="009D0C0D" w:rsidP="003F004C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A méltóságok, magisztrátusok, köztisztviselők és vezető pozícióban lévő személyek </w:t>
            </w:r>
            <w:r w:rsidR="00E11AEB" w:rsidRPr="008C37C5">
              <w:rPr>
                <w:rFonts w:ascii="Cambria Math" w:hAnsi="Cambria Math" w:cs="Calibri"/>
                <w:lang w:val="hu-HU"/>
              </w:rPr>
              <w:t>va</w:t>
            </w:r>
            <w:r w:rsidRPr="008C37C5">
              <w:rPr>
                <w:rFonts w:ascii="Cambria Math" w:hAnsi="Cambria Math" w:cs="Calibri"/>
                <w:lang w:val="hu-HU"/>
              </w:rPr>
              <w:t>g</w:t>
            </w:r>
            <w:r w:rsidR="00E11AEB" w:rsidRPr="008C37C5">
              <w:rPr>
                <w:rFonts w:ascii="Cambria Math" w:hAnsi="Cambria Math" w:cs="Calibri"/>
                <w:lang w:val="hu-HU"/>
              </w:rPr>
              <w:t>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onának </w:t>
            </w:r>
            <w:r w:rsidR="003F004C" w:rsidRPr="008C37C5">
              <w:rPr>
                <w:rFonts w:ascii="Cambria Math" w:hAnsi="Cambria Math" w:cs="Calibri"/>
                <w:lang w:val="hu-HU"/>
              </w:rPr>
              <w:t>bejelentéséről és e</w:t>
            </w:r>
            <w:r w:rsidR="004629DD">
              <w:rPr>
                <w:rFonts w:ascii="Cambria Math" w:hAnsi="Cambria Math" w:cs="Calibri"/>
                <w:lang w:val="hu-HU"/>
              </w:rPr>
              <w:t>llenőrzéséről szóló 1996/115-ös t</w:t>
            </w:r>
            <w:r w:rsidR="003F004C" w:rsidRPr="008C37C5">
              <w:rPr>
                <w:rFonts w:ascii="Cambria Math" w:hAnsi="Cambria Math" w:cs="Calibri"/>
                <w:lang w:val="hu-HU"/>
              </w:rPr>
              <w:t>örvény, annak utólagos módo</w:t>
            </w:r>
            <w:r w:rsidR="00EE7990">
              <w:rPr>
                <w:rFonts w:ascii="Cambria Math" w:hAnsi="Cambria Math" w:cs="Calibri"/>
                <w:lang w:val="hu-HU"/>
              </w:rPr>
              <w:t>sításaival és kiegészítéseivel;</w:t>
            </w:r>
          </w:p>
          <w:p w14:paraId="7CDFD149" w14:textId="77777777" w:rsidR="00175876" w:rsidRPr="008C37C5" w:rsidRDefault="009A3CCC" w:rsidP="00175876">
            <w:pPr>
              <w:pStyle w:val="ListParagraph"/>
              <w:numPr>
                <w:ilvl w:val="1"/>
                <w:numId w:val="17"/>
              </w:numPr>
              <w:tabs>
                <w:tab w:val="left" w:pos="51"/>
              </w:tabs>
              <w:ind w:left="231" w:hanging="231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/>
                <w:lang w:val="hu-HU"/>
              </w:rPr>
              <w:t>Az átláthatóság biztosítására a köztiszti méltóságok, a közt</w:t>
            </w:r>
            <w:r w:rsidR="004629DD">
              <w:rPr>
                <w:rFonts w:ascii="Cambria Math" w:hAnsi="Cambria Math"/>
                <w:lang w:val="hu-HU"/>
              </w:rPr>
              <w:t>isztségek gyakorlásában és az üz</w:t>
            </w:r>
            <w:r w:rsidRPr="008C37C5">
              <w:rPr>
                <w:rFonts w:ascii="Cambria Math" w:hAnsi="Cambria Math"/>
                <w:lang w:val="hu-HU"/>
              </w:rPr>
              <w:t>leti környezetben, illetve a korrupció megelőzésére és büntetésére irányuló inté</w:t>
            </w:r>
            <w:r w:rsidR="004629DD">
              <w:rPr>
                <w:rFonts w:ascii="Cambria Math" w:hAnsi="Cambria Math"/>
                <w:lang w:val="hu-HU"/>
              </w:rPr>
              <w:t>zkedésekről szóló 2003/161-es t</w:t>
            </w:r>
            <w:r w:rsidRPr="008C37C5">
              <w:rPr>
                <w:rFonts w:ascii="Cambria Math" w:hAnsi="Cambria Math"/>
                <w:lang w:val="hu-HU"/>
              </w:rPr>
              <w:t>örvény, annak utólagos mód</w:t>
            </w:r>
            <w:r w:rsidR="00EE7990">
              <w:rPr>
                <w:rFonts w:ascii="Cambria Math" w:hAnsi="Cambria Math"/>
                <w:lang w:val="hu-HU"/>
              </w:rPr>
              <w:t>osításaival és kiegészítéseivel;</w:t>
            </w:r>
            <w:r w:rsidRPr="008C37C5">
              <w:rPr>
                <w:rFonts w:ascii="Cambria Math" w:hAnsi="Cambria Math"/>
                <w:lang w:val="hu-HU"/>
              </w:rPr>
              <w:t xml:space="preserve"> </w:t>
            </w:r>
          </w:p>
          <w:p w14:paraId="316CE1C5" w14:textId="77777777" w:rsidR="00175876" w:rsidRPr="008C37C5" w:rsidRDefault="009A3CCC" w:rsidP="00175876">
            <w:pPr>
              <w:numPr>
                <w:ilvl w:val="1"/>
                <w:numId w:val="17"/>
              </w:numPr>
              <w:tabs>
                <w:tab w:val="left" w:pos="51"/>
              </w:tabs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Az Országos Feddhetetlenségi Ügynökség létrehozására, megszervezésére és működésére</w:t>
            </w:r>
            <w:r w:rsidR="004629DD">
              <w:rPr>
                <w:rFonts w:ascii="Cambria Math" w:hAnsi="Cambria Math" w:cs="Calibri"/>
                <w:lang w:val="hu-HU"/>
              </w:rPr>
              <w:t>, valamint más n</w:t>
            </w:r>
            <w:r w:rsidRPr="008C37C5">
              <w:rPr>
                <w:rFonts w:ascii="Cambria Math" w:hAnsi="Cambria Math" w:cs="Calibri"/>
                <w:lang w:val="hu-HU"/>
              </w:rPr>
              <w:t>ormatívák módosítására és kiegészítésére vonatkozó 2007/144</w:t>
            </w:r>
            <w:r w:rsidR="004629DD">
              <w:rPr>
                <w:rFonts w:ascii="Cambria Math" w:hAnsi="Cambria Math" w:cs="Calibri"/>
                <w:lang w:val="hu-HU"/>
              </w:rPr>
              <w:t>-es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4629DD">
              <w:rPr>
                <w:rFonts w:ascii="Cambria Math" w:hAnsi="Cambria Math" w:cs="Calibri"/>
                <w:lang w:val="hu-HU"/>
              </w:rPr>
              <w:t>t</w:t>
            </w:r>
            <w:r w:rsidRPr="008C37C5">
              <w:rPr>
                <w:rFonts w:ascii="Cambria Math" w:hAnsi="Cambria Math" w:cs="Calibri"/>
                <w:lang w:val="hu-HU"/>
              </w:rPr>
              <w:t>örvényt mód</w:t>
            </w:r>
            <w:r w:rsidR="004629DD">
              <w:rPr>
                <w:rFonts w:ascii="Cambria Math" w:hAnsi="Cambria Math" w:cs="Calibri"/>
                <w:lang w:val="hu-HU"/>
              </w:rPr>
              <w:t>osító és kiegészítő 2010/176-os t</w:t>
            </w:r>
            <w:r w:rsidRPr="008C37C5">
              <w:rPr>
                <w:rFonts w:ascii="Cambria Math" w:hAnsi="Cambria Math" w:cs="Calibri"/>
                <w:lang w:val="hu-HU"/>
              </w:rPr>
              <w:t>örvény</w:t>
            </w:r>
            <w:r w:rsidR="004629DD">
              <w:rPr>
                <w:rFonts w:ascii="Cambria Math" w:hAnsi="Cambria Math" w:cs="Calibri"/>
                <w:lang w:val="hu-HU"/>
              </w:rPr>
              <w:t>,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EC4443" w:rsidRPr="008C37C5">
              <w:rPr>
                <w:rFonts w:ascii="Cambria Math" w:hAnsi="Cambria Math" w:cs="Calibri"/>
                <w:lang w:val="hu-HU"/>
              </w:rPr>
              <w:t xml:space="preserve">a köztisztviselői állások és méltóságok </w:t>
            </w:r>
            <w:r w:rsidR="004629DD">
              <w:rPr>
                <w:rFonts w:ascii="Cambria Math" w:hAnsi="Cambria Math" w:cs="Calibri"/>
                <w:lang w:val="hu-HU"/>
              </w:rPr>
              <w:t>feddhetetlenségére</w:t>
            </w:r>
            <w:r w:rsidR="00EE7990">
              <w:rPr>
                <w:rFonts w:ascii="Cambria Math" w:hAnsi="Cambria Math" w:cs="Calibri"/>
                <w:lang w:val="hu-HU"/>
              </w:rPr>
              <w:t xml:space="preserve"> vonatkozóan;</w:t>
            </w:r>
          </w:p>
          <w:p w14:paraId="391E0CF9" w14:textId="77777777" w:rsidR="00175876" w:rsidRPr="008C37C5" w:rsidRDefault="00EC4443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köztisztviselők jogállásáról szóló, utólagos módosítások</w:t>
            </w:r>
            <w:r w:rsidR="004629DD">
              <w:rPr>
                <w:rFonts w:ascii="Cambria Math" w:hAnsi="Cambria Math" w:cs="Calibri"/>
                <w:lang w:val="hu-HU"/>
              </w:rPr>
              <w:t>kal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és </w:t>
            </w:r>
            <w:r w:rsidRPr="008C37C5">
              <w:rPr>
                <w:rFonts w:ascii="Cambria Math" w:hAnsi="Cambria Math" w:cs="Calibri"/>
                <w:lang w:val="hu-HU"/>
              </w:rPr>
              <w:lastRenderedPageBreak/>
              <w:t>kiegészítések</w:t>
            </w:r>
            <w:r w:rsidR="004629DD">
              <w:rPr>
                <w:rFonts w:ascii="Cambria Math" w:hAnsi="Cambria Math" w:cs="Calibri"/>
                <w:lang w:val="hu-HU"/>
              </w:rPr>
              <w:t>kel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újból közzétett 1999/188</w:t>
            </w:r>
            <w:r w:rsidR="004629DD">
              <w:rPr>
                <w:rFonts w:ascii="Cambria Math" w:hAnsi="Cambria Math" w:cs="Calibri"/>
                <w:lang w:val="hu-HU"/>
              </w:rPr>
              <w:t>-as t</w:t>
            </w:r>
            <w:r w:rsidRPr="008C37C5">
              <w:rPr>
                <w:rFonts w:ascii="Cambria Math" w:hAnsi="Cambria Math" w:cs="Calibri"/>
                <w:lang w:val="hu-HU"/>
              </w:rPr>
              <w:t>örvény</w:t>
            </w:r>
            <w:r w:rsidR="001B1D35" w:rsidRPr="008C37C5">
              <w:rPr>
                <w:rFonts w:ascii="Cambria Math" w:hAnsi="Cambria Math" w:cs="Calibri"/>
                <w:lang w:val="hu-HU"/>
              </w:rPr>
              <w:t>,</w:t>
            </w:r>
          </w:p>
          <w:p w14:paraId="50E46E18" w14:textId="77777777" w:rsidR="00175876" w:rsidRPr="008C37C5" w:rsidRDefault="00EC4443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köztisztviselők magatartására vonatkozó, újból közzétett 2004/7</w:t>
            </w:r>
            <w:r w:rsidR="004629DD">
              <w:rPr>
                <w:rFonts w:ascii="Cambria Math" w:hAnsi="Cambria Math" w:cs="Calibri"/>
                <w:lang w:val="hu-HU"/>
              </w:rPr>
              <w:t>-es t</w:t>
            </w:r>
            <w:r w:rsidRPr="008C37C5">
              <w:rPr>
                <w:rFonts w:ascii="Cambria Math" w:hAnsi="Cambria Math" w:cs="Calibri"/>
                <w:lang w:val="hu-HU"/>
              </w:rPr>
              <w:t>örvény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66606D0D" w14:textId="77777777" w:rsidR="00175876" w:rsidRPr="008C37C5" w:rsidRDefault="00EC4443" w:rsidP="00175876">
            <w:pPr>
              <w:numPr>
                <w:ilvl w:val="1"/>
                <w:numId w:val="17"/>
              </w:numPr>
              <w:tabs>
                <w:tab w:val="left" w:pos="51"/>
              </w:tabs>
              <w:spacing w:line="276" w:lineRule="auto"/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közhatóságok és közintézmények szerződéses személyzetének illemszabályára vonatkozó 2004/477</w:t>
            </w:r>
            <w:r w:rsidR="004629DD">
              <w:rPr>
                <w:rFonts w:ascii="Cambria Math" w:hAnsi="Cambria Math" w:cs="Calibri"/>
                <w:lang w:val="hu-HU"/>
              </w:rPr>
              <w:t>-es t</w:t>
            </w:r>
            <w:r w:rsidRPr="008C37C5">
              <w:rPr>
                <w:rFonts w:ascii="Cambria Math" w:hAnsi="Cambria Math" w:cs="Calibri"/>
                <w:lang w:val="hu-HU"/>
              </w:rPr>
              <w:t>örvény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1C447FDD" w14:textId="77777777" w:rsidR="00175876" w:rsidRPr="008C37C5" w:rsidRDefault="001B1D35" w:rsidP="00175876">
            <w:pPr>
              <w:numPr>
                <w:ilvl w:val="1"/>
                <w:numId w:val="17"/>
              </w:numPr>
              <w:tabs>
                <w:tab w:val="left" w:pos="51"/>
              </w:tabs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megbízatás vagy feladat gyakorlása során</w:t>
            </w:r>
            <w:r w:rsidR="004629DD">
              <w:rPr>
                <w:rFonts w:ascii="Cambria Math" w:hAnsi="Cambria Math" w:cs="Calibri"/>
                <w:lang w:val="hu-HU"/>
              </w:rPr>
              <w:t>,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EC4443" w:rsidRPr="008C37C5">
              <w:rPr>
                <w:rFonts w:ascii="Cambria Math" w:hAnsi="Cambria Math" w:cs="Calibri"/>
                <w:lang w:val="hu-HU"/>
              </w:rPr>
              <w:t>protokollesemények keretében kapott javak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ra </w:t>
            </w:r>
            <w:r w:rsidR="004629DD">
              <w:rPr>
                <w:rFonts w:ascii="Cambria Math" w:hAnsi="Cambria Math" w:cs="Calibri"/>
                <w:lang w:val="hu-HU"/>
              </w:rPr>
              <w:t>vonatkozó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intézkedésekről szóló 2004/251</w:t>
            </w:r>
            <w:r w:rsidR="004629DD">
              <w:rPr>
                <w:rFonts w:ascii="Cambria Math" w:hAnsi="Cambria Math" w:cs="Calibri"/>
                <w:lang w:val="hu-HU"/>
              </w:rPr>
              <w:t>-es törvény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0AEA0998" w14:textId="77777777" w:rsidR="00175876" w:rsidRPr="008C37C5" w:rsidRDefault="00C90DE2" w:rsidP="00175876">
            <w:pPr>
              <w:numPr>
                <w:ilvl w:val="1"/>
                <w:numId w:val="17"/>
              </w:numPr>
              <w:tabs>
                <w:tab w:val="left" w:pos="51"/>
              </w:tabs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 A</w:t>
            </w:r>
            <w:r w:rsidR="001B1D35" w:rsidRPr="008C37C5">
              <w:rPr>
                <w:rFonts w:ascii="Cambria Math" w:hAnsi="Cambria Math" w:cs="Calibri"/>
                <w:lang w:val="hu-HU"/>
              </w:rPr>
              <w:t xml:space="preserve"> Kormány Főtitkárságának 2015/400</w:t>
            </w:r>
            <w:r w:rsidR="004629DD">
              <w:rPr>
                <w:rFonts w:ascii="Cambria Math" w:hAnsi="Cambria Math" w:cs="Calibri"/>
                <w:lang w:val="hu-HU"/>
              </w:rPr>
              <w:t>-as rendelete a</w:t>
            </w:r>
            <w:r w:rsidR="001B1D35" w:rsidRPr="008C37C5">
              <w:rPr>
                <w:rFonts w:ascii="Cambria Math" w:hAnsi="Cambria Math" w:cs="Calibri"/>
                <w:lang w:val="hu-HU"/>
              </w:rPr>
              <w:t xml:space="preserve"> közintézmények belső irányításá</w:t>
            </w:r>
            <w:r w:rsidRPr="008C37C5">
              <w:rPr>
                <w:rFonts w:ascii="Cambria Math" w:hAnsi="Cambria Math" w:cs="Calibri"/>
                <w:lang w:val="hu-HU"/>
              </w:rPr>
              <w:t>ra</w:t>
            </w:r>
            <w:r w:rsidR="004629DD">
              <w:rPr>
                <w:rFonts w:ascii="Cambria Math" w:hAnsi="Cambria Math" w:cs="Calibri"/>
                <w:lang w:val="hu-HU"/>
              </w:rPr>
              <w:t>/</w:t>
            </w:r>
            <w:r w:rsidR="001B1D35" w:rsidRPr="008C37C5">
              <w:rPr>
                <w:rFonts w:ascii="Cambria Math" w:hAnsi="Cambria Math" w:cs="Calibri"/>
                <w:lang w:val="hu-HU"/>
              </w:rPr>
              <w:t>irányítási ellenőrzésé</w:t>
            </w:r>
            <w:r w:rsidR="004629DD">
              <w:rPr>
                <w:rFonts w:ascii="Cambria Math" w:hAnsi="Cambria Math" w:cs="Calibri"/>
                <w:lang w:val="hu-HU"/>
              </w:rPr>
              <w:t>re vonatkozó Kódex</w:t>
            </w:r>
            <w:r w:rsidR="001B1D35" w:rsidRPr="008C37C5">
              <w:rPr>
                <w:rFonts w:ascii="Cambria Math" w:hAnsi="Cambria Math" w:cs="Calibri"/>
                <w:lang w:val="hu-HU"/>
              </w:rPr>
              <w:t xml:space="preserve"> jóváhagyás</w:t>
            </w:r>
            <w:r w:rsidRPr="008C37C5">
              <w:rPr>
                <w:rFonts w:ascii="Cambria Math" w:hAnsi="Cambria Math" w:cs="Calibri"/>
                <w:lang w:val="hu-HU"/>
              </w:rPr>
              <w:t>áról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4F7ECA8F" w14:textId="77777777" w:rsidR="00175876" w:rsidRPr="008C37C5" w:rsidRDefault="00F31DDF" w:rsidP="00175876">
            <w:pPr>
              <w:numPr>
                <w:ilvl w:val="1"/>
                <w:numId w:val="17"/>
              </w:numPr>
              <w:tabs>
                <w:tab w:val="left" w:pos="51"/>
              </w:tabs>
              <w:ind w:left="175" w:hanging="175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2016/583</w:t>
            </w:r>
            <w:r w:rsidR="004629DD">
              <w:rPr>
                <w:rFonts w:ascii="Cambria Math" w:hAnsi="Cambria Math" w:cs="Calibri"/>
                <w:lang w:val="hu-HU"/>
              </w:rPr>
              <w:t>-as 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ormányrendelet a </w:t>
            </w:r>
            <w:r w:rsidR="007F28C8" w:rsidRPr="008C37C5">
              <w:rPr>
                <w:rFonts w:ascii="Cambria Math" w:hAnsi="Cambria Math" w:cs="Calibri"/>
                <w:lang w:val="hu-HU"/>
              </w:rPr>
              <w:t>2016-2020</w:t>
            </w:r>
            <w:r w:rsidR="004629DD">
              <w:rPr>
                <w:rFonts w:ascii="Cambria Math" w:hAnsi="Cambria Math" w:cs="Calibri"/>
                <w:lang w:val="hu-HU"/>
              </w:rPr>
              <w:t>-a állami</w:t>
            </w:r>
            <w:r w:rsidR="007F28C8" w:rsidRPr="008C37C5">
              <w:rPr>
                <w:rFonts w:ascii="Cambria Math" w:hAnsi="Cambria Math" w:cs="Calibri"/>
                <w:lang w:val="hu-HU"/>
              </w:rPr>
              <w:t xml:space="preserve"> korrupció</w:t>
            </w:r>
            <w:r w:rsidR="004629DD">
              <w:rPr>
                <w:rFonts w:ascii="Cambria Math" w:hAnsi="Cambria Math" w:cs="Calibri"/>
                <w:lang w:val="hu-HU"/>
              </w:rPr>
              <w:t>ellene</w:t>
            </w:r>
            <w:r w:rsidR="007F28C8" w:rsidRPr="008C37C5">
              <w:rPr>
                <w:rFonts w:ascii="Cambria Math" w:hAnsi="Cambria Math" w:cs="Calibri"/>
                <w:lang w:val="hu-HU"/>
              </w:rPr>
              <w:t>s stratégia, a mutatók, a stratégia célkitűzéseivel és intézkedéseivel és az ellenőrzési forrásokkal kapcsolatos kockázatok, az intézményi átláthatóság és a korrupció megelőzésével kapcsolatos intézkedések jegyzékének, valamint a közérdekű információk közzétételére vonatkozó előírások jóváhagyásáró</w:t>
            </w:r>
            <w:r w:rsidRPr="008C37C5">
              <w:rPr>
                <w:rFonts w:ascii="Cambria Math" w:hAnsi="Cambria Math" w:cs="Calibri"/>
                <w:lang w:val="hu-HU"/>
              </w:rPr>
              <w:t xml:space="preserve">l. </w:t>
            </w:r>
          </w:p>
          <w:p w14:paraId="4E2DAE95" w14:textId="77777777" w:rsidR="007F28C8" w:rsidRPr="008C37C5" w:rsidRDefault="007F28C8" w:rsidP="007F28C8">
            <w:pPr>
              <w:tabs>
                <w:tab w:val="left" w:pos="51"/>
              </w:tabs>
              <w:ind w:left="175"/>
              <w:jc w:val="both"/>
              <w:rPr>
                <w:rFonts w:ascii="Cambria Math" w:hAnsi="Cambria Math" w:cs="Calibri"/>
                <w:lang w:val="hu-HU"/>
              </w:rPr>
            </w:pPr>
          </w:p>
        </w:tc>
      </w:tr>
      <w:tr w:rsidR="00175876" w:rsidRPr="008C37C5" w14:paraId="34786F87" w14:textId="77777777" w:rsidTr="000F2C81">
        <w:tc>
          <w:tcPr>
            <w:tcW w:w="3046" w:type="dxa"/>
            <w:shd w:val="clear" w:color="auto" w:fill="auto"/>
          </w:tcPr>
          <w:p w14:paraId="1F59777B" w14:textId="77777777" w:rsidR="00175876" w:rsidRPr="008C37C5" w:rsidRDefault="00687ABD" w:rsidP="008C37C5">
            <w:pPr>
              <w:pStyle w:val="ListParagraph"/>
              <w:tabs>
                <w:tab w:val="left" w:pos="1134"/>
              </w:tabs>
              <w:ind w:left="0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lastRenderedPageBreak/>
              <w:t>A Kódexben általánosan használt kifejezések</w:t>
            </w:r>
          </w:p>
        </w:tc>
        <w:tc>
          <w:tcPr>
            <w:tcW w:w="6999" w:type="dxa"/>
            <w:shd w:val="clear" w:color="auto" w:fill="auto"/>
          </w:tcPr>
          <w:p w14:paraId="46496986" w14:textId="77777777" w:rsidR="00623F01" w:rsidRPr="008C37C5" w:rsidRDefault="00623F01" w:rsidP="0057345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Közérdek </w:t>
            </w:r>
            <w:r w:rsidRPr="008C37C5">
              <w:rPr>
                <w:rFonts w:ascii="Cambria Math" w:hAnsi="Cambria Math" w:cs="Calibri"/>
                <w:lang w:val="hu-HU"/>
              </w:rPr>
              <w:t>– azon érdek, amely</w:t>
            </w:r>
            <w:r w:rsidR="00120696" w:rsidRPr="008C37C5">
              <w:rPr>
                <w:rFonts w:ascii="Cambria Math" w:hAnsi="Cambria Math" w:cs="Calibri"/>
                <w:lang w:val="hu-HU"/>
              </w:rPr>
              <w:t xml:space="preserve"> az Alkotmány, a</w:t>
            </w:r>
            <w:r w:rsidR="00EE7990">
              <w:rPr>
                <w:rFonts w:ascii="Cambria Math" w:hAnsi="Cambria Math" w:cs="Calibri"/>
                <w:lang w:val="hu-HU"/>
              </w:rPr>
              <w:t>z állami</w:t>
            </w:r>
            <w:r w:rsidR="00120696" w:rsidRPr="008C37C5">
              <w:rPr>
                <w:rFonts w:ascii="Cambria Math" w:hAnsi="Cambria Math" w:cs="Calibri"/>
                <w:lang w:val="hu-HU"/>
              </w:rPr>
              <w:t xml:space="preserve"> jogszabályok, illetve a Románia által szerződött nemzetközi szerződések által elismert polgári jogok</w:t>
            </w:r>
            <w:r w:rsidR="00097270" w:rsidRPr="008C37C5">
              <w:rPr>
                <w:rFonts w:ascii="Cambria Math" w:hAnsi="Cambria Math" w:cs="Calibri"/>
                <w:lang w:val="hu-HU"/>
              </w:rPr>
              <w:t>, szabadság és jogos érdek</w:t>
            </w:r>
            <w:r w:rsidR="00120696" w:rsidRPr="008C37C5">
              <w:rPr>
                <w:rFonts w:ascii="Cambria Math" w:hAnsi="Cambria Math" w:cs="Calibri"/>
                <w:lang w:val="hu-HU"/>
              </w:rPr>
              <w:t>ek</w:t>
            </w:r>
            <w:r w:rsidR="00097270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120696" w:rsidRPr="008C37C5">
              <w:rPr>
                <w:rFonts w:ascii="Cambria Math" w:hAnsi="Cambria Math" w:cs="Calibri"/>
                <w:lang w:val="hu-HU"/>
              </w:rPr>
              <w:t>biztosítását</w:t>
            </w:r>
            <w:r w:rsidR="00097270" w:rsidRPr="008C37C5">
              <w:rPr>
                <w:rFonts w:ascii="Cambria Math" w:hAnsi="Cambria Math" w:cs="Calibri"/>
                <w:lang w:val="hu-HU"/>
              </w:rPr>
              <w:t xml:space="preserve"> és tiszteletben tartásá</w:t>
            </w:r>
            <w:r w:rsidR="00EE7990">
              <w:rPr>
                <w:rFonts w:ascii="Cambria Math" w:hAnsi="Cambria Math" w:cs="Calibri"/>
                <w:lang w:val="hu-HU"/>
              </w:rPr>
              <w:t>t, valamint</w:t>
            </w:r>
            <w:r w:rsidR="00120696" w:rsidRPr="008C37C5">
              <w:rPr>
                <w:rFonts w:ascii="Cambria Math" w:hAnsi="Cambria Math" w:cs="Calibri"/>
                <w:lang w:val="hu-HU"/>
              </w:rPr>
              <w:t xml:space="preserve"> a </w:t>
            </w:r>
            <w:r w:rsidR="00B52C1A">
              <w:rPr>
                <w:rFonts w:ascii="Cambria Math" w:hAnsi="Cambria Math" w:cs="Calibri"/>
                <w:lang w:val="hu-HU"/>
              </w:rPr>
              <w:t>köz</w:t>
            </w:r>
            <w:r w:rsidR="00120696" w:rsidRPr="008C37C5">
              <w:rPr>
                <w:rFonts w:ascii="Cambria Math" w:hAnsi="Cambria Math" w:cs="Calibri"/>
                <w:lang w:val="hu-HU"/>
              </w:rPr>
              <w:t>szolgáltatás</w:t>
            </w:r>
            <w:r w:rsidR="00B52C1A">
              <w:rPr>
                <w:rFonts w:ascii="Cambria Math" w:hAnsi="Cambria Math" w:cs="Calibri"/>
                <w:lang w:val="hu-HU"/>
              </w:rPr>
              <w:t>i feladatok</w:t>
            </w:r>
            <w:r w:rsidR="00EE7990">
              <w:rPr>
                <w:rFonts w:ascii="Cambria Math" w:hAnsi="Cambria Math" w:cs="Calibri"/>
                <w:lang w:val="hu-HU"/>
              </w:rPr>
              <w:t xml:space="preserve"> </w:t>
            </w:r>
            <w:r w:rsidR="00573451" w:rsidRPr="008C37C5">
              <w:rPr>
                <w:rFonts w:ascii="Cambria Math" w:hAnsi="Cambria Math" w:cs="Calibri"/>
                <w:lang w:val="hu-HU"/>
              </w:rPr>
              <w:t>ellátását foglalja magába a</w:t>
            </w:r>
            <w:r w:rsidR="00120696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573451" w:rsidRPr="008C37C5">
              <w:rPr>
                <w:rFonts w:ascii="Cambria Math" w:hAnsi="Cambria Math" w:cs="Calibri"/>
                <w:lang w:val="hu-HU"/>
              </w:rPr>
              <w:t>hatékonysági elvek, illetve az erőforrás-felhasználás hatékonysága, eredményesség</w:t>
            </w:r>
            <w:r w:rsidR="004629DD">
              <w:rPr>
                <w:rFonts w:ascii="Cambria Math" w:hAnsi="Cambria Math" w:cs="Calibri"/>
                <w:lang w:val="hu-HU"/>
              </w:rPr>
              <w:t>e</w:t>
            </w:r>
            <w:r w:rsidR="00573451" w:rsidRPr="008C37C5">
              <w:rPr>
                <w:rFonts w:ascii="Cambria Math" w:hAnsi="Cambria Math" w:cs="Calibri"/>
                <w:lang w:val="hu-HU"/>
              </w:rPr>
              <w:t xml:space="preserve"> és gazdaságossága tiszteletben tartás</w:t>
            </w:r>
            <w:r w:rsidR="00EE7990">
              <w:rPr>
                <w:rFonts w:ascii="Cambria Math" w:hAnsi="Cambria Math" w:cs="Calibri"/>
                <w:lang w:val="hu-HU"/>
              </w:rPr>
              <w:t>ával</w:t>
            </w:r>
            <w:r w:rsidR="00573451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09620A3B" w14:textId="77777777" w:rsidR="00175876" w:rsidRPr="008C37C5" w:rsidRDefault="00573451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Személyes érdekek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EE7990">
              <w:rPr>
                <w:rFonts w:ascii="Cambria Math" w:hAnsi="Cambria Math" w:cs="Calibri"/>
                <w:lang w:val="hu-HU"/>
              </w:rPr>
              <w:t>–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minden olyan anyagi vagy egyéb előny, amelyet a munkavállaló közvetlenül vagy közvetve, saját vagy mások érdekében szerez meg</w:t>
            </w:r>
            <w:r w:rsidR="00EE7990">
              <w:rPr>
                <w:rFonts w:ascii="Cambria Math" w:hAnsi="Cambria Math" w:cs="Calibri"/>
                <w:lang w:val="hu-HU"/>
              </w:rPr>
              <w:t>,</w:t>
            </w:r>
            <w:r w:rsidR="00511822" w:rsidRPr="008C37C5">
              <w:rPr>
                <w:rFonts w:ascii="Cambria Math" w:hAnsi="Cambria Math" w:cs="Calibri"/>
                <w:lang w:val="hu-HU"/>
              </w:rPr>
              <w:t xml:space="preserve"> felhasználva hírnevét, befolyását</w:t>
            </w:r>
            <w:r w:rsidR="00EE7990">
              <w:rPr>
                <w:rFonts w:ascii="Cambria Math" w:hAnsi="Cambria Math" w:cs="Calibri"/>
                <w:lang w:val="hu-HU"/>
              </w:rPr>
              <w:t>, lehetőségeit, kapcsolatait és</w:t>
            </w:r>
            <w:r w:rsidR="00511822" w:rsidRPr="008C37C5">
              <w:rPr>
                <w:rFonts w:ascii="Cambria Math" w:hAnsi="Cambria Math" w:cs="Calibri"/>
                <w:lang w:val="hu-HU"/>
              </w:rPr>
              <w:t xml:space="preserve"> a </w:t>
            </w:r>
            <w:r w:rsidRPr="008C37C5">
              <w:rPr>
                <w:rFonts w:ascii="Cambria Math" w:hAnsi="Cambria Math" w:cs="Calibri"/>
                <w:lang w:val="hu-HU"/>
              </w:rPr>
              <w:t>feladatkörei gyakorlása során</w:t>
            </w:r>
            <w:r w:rsidR="00511822" w:rsidRPr="008C37C5">
              <w:rPr>
                <w:rFonts w:ascii="Cambria Math" w:hAnsi="Cambria Math" w:cs="Calibri"/>
                <w:lang w:val="hu-HU"/>
              </w:rPr>
              <w:t xml:space="preserve"> rendelkezésére álló információkat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112F3707" w14:textId="77777777" w:rsidR="00175876" w:rsidRPr="008C37C5" w:rsidRDefault="00F012BC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Összeférhetetlenség</w:t>
            </w:r>
            <w:r w:rsidR="00EE7990">
              <w:rPr>
                <w:rFonts w:ascii="Cambria Math" w:hAnsi="Cambria Math" w:cs="Calibri"/>
                <w:lang w:val="hu-HU"/>
              </w:rPr>
              <w:t xml:space="preserve"> –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olyan helyzet vagy körülmény, amelyben a munkavállaló személyes vagy közvetlen érdeke ellentétes a közérdekkel, oly módon, hogy az befolyásolja vagy befolyásolhatja függetlenségét és pártatlanságát a döntéshozatalban, illetve az általa betöltött állás</w:t>
            </w:r>
            <w:r w:rsidR="00F00030" w:rsidRPr="008C37C5">
              <w:rPr>
                <w:rFonts w:ascii="Cambria Math" w:hAnsi="Cambria Math" w:cs="Calibri"/>
                <w:lang w:val="hu-HU"/>
              </w:rPr>
              <w:t xml:space="preserve"> során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F00030" w:rsidRPr="008C37C5">
              <w:rPr>
                <w:rFonts w:ascii="Cambria Math" w:hAnsi="Cambria Math" w:cs="Calibri"/>
                <w:lang w:val="hu-HU"/>
              </w:rPr>
              <w:t>rá háruló feladatok időben történő és tárgyilagos teljesítésében;</w:t>
            </w:r>
          </w:p>
          <w:p w14:paraId="5B5EC6DB" w14:textId="77777777" w:rsidR="00175876" w:rsidRPr="008C37C5" w:rsidRDefault="007907F7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Közérdekű információ</w:t>
            </w:r>
            <w:r w:rsidR="00EE7990">
              <w:rPr>
                <w:rFonts w:ascii="Cambria Math" w:hAnsi="Cambria Math" w:cs="Calibri"/>
                <w:lang w:val="hu-HU"/>
              </w:rPr>
              <w:t xml:space="preserve"> –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bármely nem minősített információ, amely az intézmény tevékenységére vonatkozik, vagy az intézmény tevékenységéből származik, független annak támogatottságától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5DFFAC0E" w14:textId="77777777" w:rsidR="00175876" w:rsidRPr="008C37C5" w:rsidRDefault="007907F7" w:rsidP="007907F7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Személyes adatokra vonatkozó információ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–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bármely azonosított vagy azonosítható személyre vonatkozó információ.</w:t>
            </w:r>
          </w:p>
        </w:tc>
      </w:tr>
      <w:tr w:rsidR="00175876" w:rsidRPr="008C37C5" w14:paraId="16EA0FDB" w14:textId="77777777" w:rsidTr="000F2C81">
        <w:tc>
          <w:tcPr>
            <w:tcW w:w="10045" w:type="dxa"/>
            <w:gridSpan w:val="2"/>
            <w:shd w:val="clear" w:color="auto" w:fill="auto"/>
          </w:tcPr>
          <w:p w14:paraId="0B5B4ABD" w14:textId="77777777" w:rsidR="00175876" w:rsidRPr="008C37C5" w:rsidRDefault="00175876" w:rsidP="000F2C81">
            <w:pPr>
              <w:ind w:left="33"/>
              <w:jc w:val="center"/>
              <w:rPr>
                <w:rFonts w:ascii="Cambria Math" w:hAnsi="Cambria Math" w:cs="Calibri"/>
                <w:b/>
                <w:lang w:val="hu-HU"/>
              </w:rPr>
            </w:pPr>
          </w:p>
          <w:p w14:paraId="484EED15" w14:textId="77777777" w:rsidR="00175876" w:rsidRPr="008C37C5" w:rsidRDefault="007907F7" w:rsidP="000F2C81">
            <w:pPr>
              <w:ind w:left="33"/>
              <w:jc w:val="center"/>
              <w:rPr>
                <w:rFonts w:ascii="Cambria Math" w:hAnsi="Cambria Math" w:cs="Calibri"/>
                <w:b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Értékek és elvek</w:t>
            </w:r>
          </w:p>
        </w:tc>
      </w:tr>
      <w:tr w:rsidR="00175876" w:rsidRPr="008C37C5" w14:paraId="55F3AD0B" w14:textId="77777777" w:rsidTr="000F2C81">
        <w:tc>
          <w:tcPr>
            <w:tcW w:w="3046" w:type="dxa"/>
            <w:shd w:val="clear" w:color="auto" w:fill="auto"/>
          </w:tcPr>
          <w:p w14:paraId="2C6EF424" w14:textId="77777777" w:rsidR="00175876" w:rsidRPr="008C37C5" w:rsidRDefault="007907F7" w:rsidP="000F2C81">
            <w:pPr>
              <w:jc w:val="both"/>
              <w:rPr>
                <w:rFonts w:ascii="Cambria Math" w:hAnsi="Cambria Math" w:cs="Calibri"/>
                <w:b/>
                <w:i/>
                <w:lang w:val="hu-HU" w:eastAsia="ro-RO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 w:eastAsia="ro-RO"/>
              </w:rPr>
              <w:t>Alapvető értékek</w:t>
            </w:r>
          </w:p>
          <w:p w14:paraId="3798C9AB" w14:textId="77777777" w:rsidR="00175876" w:rsidRPr="008C37C5" w:rsidRDefault="00175876" w:rsidP="000F2C81">
            <w:pPr>
              <w:jc w:val="both"/>
              <w:rPr>
                <w:rFonts w:ascii="Cambria Math" w:hAnsi="Cambria Math" w:cs="Calibri"/>
                <w:b/>
                <w:i/>
                <w:lang w:val="hu-HU" w:eastAsia="ro-RO"/>
              </w:rPr>
            </w:pPr>
          </w:p>
          <w:p w14:paraId="7B7D6E9F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</w:p>
        </w:tc>
        <w:tc>
          <w:tcPr>
            <w:tcW w:w="6999" w:type="dxa"/>
            <w:shd w:val="clear" w:color="auto" w:fill="auto"/>
          </w:tcPr>
          <w:p w14:paraId="1609D13C" w14:textId="77777777" w:rsidR="00175876" w:rsidRPr="008C37C5" w:rsidRDefault="00EE7990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b/>
                <w:lang w:val="hu-HU"/>
              </w:rPr>
              <w:t>Feddhetetlenség</w:t>
            </w:r>
            <w:r w:rsidR="007907F7" w:rsidRPr="008C37C5">
              <w:rPr>
                <w:rFonts w:ascii="Cambria Math" w:hAnsi="Cambria Math" w:cs="Calibri"/>
                <w:b/>
                <w:lang w:val="hu-HU"/>
              </w:rPr>
              <w:t xml:space="preserve"> a közszolgálati funkciók ellátásában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–</w:t>
            </w:r>
            <w:r>
              <w:rPr>
                <w:rFonts w:ascii="Cambria Math" w:hAnsi="Cambria Math" w:cs="Calibri"/>
                <w:lang w:val="hu-HU"/>
              </w:rPr>
              <w:t xml:space="preserve"> </w:t>
            </w:r>
            <w:r w:rsidR="003F7C20" w:rsidRPr="008C37C5">
              <w:rPr>
                <w:rFonts w:ascii="Cambria Math" w:hAnsi="Cambria Math" w:cs="Calibri"/>
                <w:lang w:val="hu-HU"/>
              </w:rPr>
              <w:t xml:space="preserve">bármely </w:t>
            </w:r>
            <w:r>
              <w:rPr>
                <w:rFonts w:ascii="Cambria Math" w:hAnsi="Cambria Math" w:cs="Calibri"/>
                <w:lang w:val="hu-HU"/>
              </w:rPr>
              <w:t xml:space="preserve">olyan </w:t>
            </w:r>
            <w:r w:rsidR="003F7C20" w:rsidRPr="008C37C5">
              <w:rPr>
                <w:rFonts w:ascii="Cambria Math" w:hAnsi="Cambria Math" w:cs="Calibri"/>
                <w:lang w:val="hu-HU"/>
              </w:rPr>
              <w:t xml:space="preserve">személyes érdek </w:t>
            </w:r>
            <w:r w:rsidR="00973B7A" w:rsidRPr="008C37C5">
              <w:rPr>
                <w:rFonts w:ascii="Cambria Math" w:hAnsi="Cambria Math" w:cs="Calibri"/>
                <w:lang w:val="hu-HU"/>
              </w:rPr>
              <w:t>nyilvánosságra hoz</w:t>
            </w:r>
            <w:r>
              <w:rPr>
                <w:rFonts w:ascii="Cambria Math" w:hAnsi="Cambria Math" w:cs="Calibri"/>
                <w:lang w:val="hu-HU"/>
              </w:rPr>
              <w:t xml:space="preserve">atala, </w:t>
            </w:r>
            <w:r w:rsidR="007907F7" w:rsidRPr="008C37C5">
              <w:rPr>
                <w:rFonts w:ascii="Cambria Math" w:hAnsi="Cambria Math" w:cs="Calibri"/>
                <w:lang w:val="hu-HU"/>
              </w:rPr>
              <w:t xml:space="preserve">amely ellentétes lehet a </w:t>
            </w:r>
            <w:r w:rsidR="00B52C1A">
              <w:rPr>
                <w:rFonts w:ascii="Cambria Math" w:hAnsi="Cambria Math" w:cs="Calibri"/>
                <w:lang w:val="hu-HU"/>
              </w:rPr>
              <w:t>köz</w:t>
            </w:r>
            <w:r w:rsidR="007907F7" w:rsidRPr="008C37C5">
              <w:rPr>
                <w:rFonts w:ascii="Cambria Math" w:hAnsi="Cambria Math" w:cs="Calibri"/>
                <w:lang w:val="hu-HU"/>
              </w:rPr>
              <w:t>szolgálati feladatok objektív</w:t>
            </w:r>
            <w:r w:rsidR="00973B7A" w:rsidRPr="008C37C5">
              <w:rPr>
                <w:rFonts w:ascii="Cambria Math" w:hAnsi="Cambria Math" w:cs="Calibri"/>
                <w:lang w:val="hu-HU"/>
              </w:rPr>
              <w:t xml:space="preserve"> teljesítésével és az összeférhetetlenségi helyzetek elkerülésével</w:t>
            </w:r>
            <w:r>
              <w:rPr>
                <w:rFonts w:ascii="Cambria Math" w:hAnsi="Cambria Math" w:cs="Calibri"/>
                <w:lang w:val="hu-HU"/>
              </w:rPr>
              <w:t>;</w:t>
            </w:r>
          </w:p>
          <w:p w14:paraId="11ACADDC" w14:textId="77777777" w:rsidR="00C8546F" w:rsidRPr="008C37C5" w:rsidRDefault="00973B7A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A közérdek</w:t>
            </w:r>
            <w:r w:rsidR="00EE7990">
              <w:rPr>
                <w:rFonts w:ascii="Cambria Math" w:hAnsi="Cambria Math" w:cs="Calibri"/>
                <w:b/>
                <w:lang w:val="hu-HU"/>
              </w:rPr>
              <w:t xml:space="preserve"> elsőbbsége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– </w:t>
            </w:r>
            <w:r w:rsidRPr="008C37C5">
              <w:rPr>
                <w:rFonts w:ascii="Cambria Math" w:hAnsi="Cambria Math" w:cs="Calibri"/>
                <w:lang w:val="hu-HU"/>
              </w:rPr>
              <w:t>a központi és helyi közigazgatás</w:t>
            </w:r>
            <w:r w:rsidR="00EE7990">
              <w:rPr>
                <w:rFonts w:ascii="Cambria Math" w:hAnsi="Cambria Math" w:cs="Calibri"/>
                <w:lang w:val="hu-HU"/>
              </w:rPr>
              <w:t>i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intézmények és hatóságok képviselőinek kötelessége, miszerint </w:t>
            </w:r>
            <w:r w:rsidR="00EE7990">
              <w:rPr>
                <w:rFonts w:ascii="Cambria Math" w:hAnsi="Cambria Math" w:cs="Calibri"/>
                <w:lang w:val="hu-HU"/>
              </w:rPr>
              <w:t xml:space="preserve">a </w:t>
            </w:r>
            <w:r w:rsidR="00B52C1A">
              <w:rPr>
                <w:rFonts w:ascii="Cambria Math" w:hAnsi="Cambria Math" w:cs="Calibri"/>
                <w:lang w:val="hu-HU"/>
              </w:rPr>
              <w:lastRenderedPageBreak/>
              <w:t>köz</w:t>
            </w:r>
            <w:r w:rsidR="00EE7990">
              <w:rPr>
                <w:rFonts w:ascii="Cambria Math" w:hAnsi="Cambria Math" w:cs="Calibri"/>
                <w:lang w:val="hu-HU"/>
              </w:rPr>
              <w:t>szo</w:t>
            </w:r>
            <w:r w:rsidR="00B52C1A">
              <w:rPr>
                <w:rFonts w:ascii="Cambria Math" w:hAnsi="Cambria Math" w:cs="Calibri"/>
                <w:lang w:val="hu-HU"/>
              </w:rPr>
              <w:t>lgálati feladatok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ellátása során a közérdeket min</w:t>
            </w:r>
            <w:r w:rsidR="00C8546F" w:rsidRPr="008C37C5">
              <w:rPr>
                <w:rFonts w:ascii="Cambria Math" w:hAnsi="Cambria Math" w:cs="Calibri"/>
                <w:lang w:val="hu-HU"/>
              </w:rPr>
              <w:t xml:space="preserve">den más érdek fölé </w:t>
            </w:r>
            <w:r w:rsidR="00EE7990">
              <w:rPr>
                <w:rFonts w:ascii="Cambria Math" w:hAnsi="Cambria Math" w:cs="Calibri"/>
                <w:lang w:val="hu-HU"/>
              </w:rPr>
              <w:t>helyezik;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</w:p>
          <w:p w14:paraId="28969A34" w14:textId="77777777" w:rsidR="00A430EF" w:rsidRPr="008C37C5" w:rsidRDefault="00A430EF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Szakmaiság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– </w:t>
            </w:r>
            <w:r w:rsidRPr="008C37C5">
              <w:rPr>
                <w:rFonts w:ascii="Cambria Math" w:hAnsi="Cambria Math" w:cs="Calibri"/>
                <w:lang w:val="hu-HU"/>
              </w:rPr>
              <w:t xml:space="preserve">a munkavállaló azon kötelessége, miszerint </w:t>
            </w:r>
            <w:r w:rsidR="00EE7990">
              <w:rPr>
                <w:rFonts w:ascii="Cambria Math" w:hAnsi="Cambria Math" w:cs="Calibri"/>
                <w:lang w:val="hu-HU"/>
              </w:rPr>
              <w:t xml:space="preserve">a </w:t>
            </w:r>
            <w:r w:rsidR="00B52C1A">
              <w:rPr>
                <w:rFonts w:ascii="Cambria Math" w:hAnsi="Cambria Math" w:cs="Calibri"/>
                <w:lang w:val="hu-HU"/>
              </w:rPr>
              <w:t>köz</w:t>
            </w:r>
            <w:r w:rsidRPr="008C37C5">
              <w:rPr>
                <w:rFonts w:ascii="Cambria Math" w:hAnsi="Cambria Math" w:cs="Calibri"/>
                <w:lang w:val="hu-HU"/>
              </w:rPr>
              <w:t>szolgál</w:t>
            </w:r>
            <w:r w:rsidR="00B52C1A">
              <w:rPr>
                <w:rFonts w:ascii="Cambria Math" w:hAnsi="Cambria Math" w:cs="Calibri"/>
                <w:lang w:val="hu-HU"/>
              </w:rPr>
              <w:t>ati feladatok</w:t>
            </w:r>
            <w:r w:rsidR="00EE7990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 xml:space="preserve">ellátását felelősséggel, kompetenciával, hatékonysággal, tisztességgel és lelkiismerettel teljesíti.  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>Pártatlanság és függetlenség</w:t>
            </w:r>
            <w:r w:rsidR="00EE7990">
              <w:rPr>
                <w:rFonts w:ascii="Cambria Math" w:hAnsi="Cambria Math" w:cs="Calibri"/>
                <w:lang w:val="hu-HU"/>
              </w:rPr>
              <w:t xml:space="preserve"> –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a munkavállalók azon kötelezettsége, amely által</w:t>
            </w:r>
            <w:r w:rsidRPr="008C37C5">
              <w:rPr>
                <w:rFonts w:ascii="Cambria Math" w:hAnsi="Cambria Math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köztisztviselői hivatásuk</w:t>
            </w:r>
            <w:r w:rsidR="00EE7990">
              <w:rPr>
                <w:rFonts w:ascii="Cambria Math" w:hAnsi="Cambria Math" w:cs="Calibri"/>
                <w:lang w:val="hu-HU"/>
              </w:rPr>
              <w:t xml:space="preserve"> gyakorlása során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objektív, semleges magatartást tanúsítanak bármely politikai, gazdasági, vallási vagy</w:t>
            </w:r>
            <w:r w:rsidR="00EE7990">
              <w:rPr>
                <w:rFonts w:ascii="Cambria Math" w:hAnsi="Cambria Math" w:cs="Calibri"/>
                <w:lang w:val="hu-HU"/>
              </w:rPr>
              <w:t xml:space="preserve"> más jel</w:t>
            </w:r>
            <w:r w:rsidRPr="008C37C5">
              <w:rPr>
                <w:rFonts w:ascii="Cambria Math" w:hAnsi="Cambria Math" w:cs="Calibri"/>
                <w:lang w:val="hu-HU"/>
              </w:rPr>
              <w:t>l</w:t>
            </w:r>
            <w:r w:rsidR="00EE7990">
              <w:rPr>
                <w:rFonts w:ascii="Cambria Math" w:hAnsi="Cambria Math" w:cs="Calibri"/>
                <w:lang w:val="hu-HU"/>
              </w:rPr>
              <w:t>e</w:t>
            </w:r>
            <w:r w:rsidRPr="008C37C5">
              <w:rPr>
                <w:rFonts w:ascii="Cambria Math" w:hAnsi="Cambria Math" w:cs="Calibri"/>
                <w:lang w:val="hu-HU"/>
              </w:rPr>
              <w:t>gű érdek</w:t>
            </w:r>
            <w:r w:rsidR="00EE7990">
              <w:rPr>
                <w:rFonts w:ascii="Cambria Math" w:hAnsi="Cambria Math" w:cs="Calibri"/>
                <w:lang w:val="hu-HU"/>
              </w:rPr>
              <w:t xml:space="preserve"> vonatkozásában;</w:t>
            </w:r>
          </w:p>
          <w:p w14:paraId="34A68918" w14:textId="77777777" w:rsidR="00A430EF" w:rsidRPr="008C37C5" w:rsidRDefault="00A430EF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Nyitottság és átláthatóság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– </w:t>
            </w:r>
            <w:r w:rsidRPr="008C37C5">
              <w:rPr>
                <w:rFonts w:ascii="Cambria Math" w:hAnsi="Cambria Math" w:cs="Calibri"/>
                <w:lang w:val="hu-HU"/>
              </w:rPr>
              <w:t>a nyilvános információkhoz való akadálytalan hozzáférés biztosítása, a közfinanszírozás</w:t>
            </w:r>
            <w:r w:rsidR="00571482" w:rsidRPr="008C37C5">
              <w:rPr>
                <w:rFonts w:ascii="Cambria Math" w:hAnsi="Cambria Math" w:cs="Calibri"/>
                <w:lang w:val="hu-HU"/>
              </w:rPr>
              <w:t>i folyamatok</w:t>
            </w:r>
            <w:r w:rsidRPr="008C37C5">
              <w:rPr>
                <w:rFonts w:ascii="Cambria Math" w:hAnsi="Cambria Math" w:cs="Calibri"/>
                <w:lang w:val="hu-HU"/>
              </w:rPr>
              <w:t>, közbeszerzési folyamatok</w:t>
            </w:r>
            <w:r w:rsidR="00EE7990">
              <w:rPr>
                <w:rFonts w:ascii="Cambria Math" w:hAnsi="Cambria Math" w:cs="Calibri"/>
                <w:lang w:val="hu-HU"/>
              </w:rPr>
              <w:t>,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a humánerőforrás-gazdálkodás és más területek</w:t>
            </w:r>
            <w:r w:rsidR="00571482" w:rsidRPr="008C37C5">
              <w:rPr>
                <w:rFonts w:ascii="Cambria Math" w:hAnsi="Cambria Math" w:cs="Calibri"/>
                <w:lang w:val="hu-HU"/>
              </w:rPr>
              <w:t>en belüli döntéshozatal átláthatóságá</w:t>
            </w:r>
            <w:r w:rsidR="00EE7990">
              <w:rPr>
                <w:rFonts w:ascii="Cambria Math" w:hAnsi="Cambria Math" w:cs="Calibri"/>
                <w:lang w:val="hu-HU"/>
              </w:rPr>
              <w:t>nak biztosítása;</w:t>
            </w:r>
          </w:p>
          <w:p w14:paraId="73E62D24" w14:textId="77777777" w:rsidR="00571482" w:rsidRPr="008C37C5" w:rsidRDefault="00571482" w:rsidP="000F2C81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Objektivitás </w:t>
            </w:r>
            <w:r w:rsidR="00EE7990">
              <w:rPr>
                <w:rFonts w:ascii="Cambria Math" w:hAnsi="Cambria Math" w:cs="Calibri"/>
                <w:lang w:val="hu-HU"/>
              </w:rPr>
              <w:t>–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A pártatlanság és a megkülönböztetés</w:t>
            </w:r>
            <w:r w:rsidR="00EE7990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mentesség</w:t>
            </w:r>
            <w:r w:rsidR="00EE7990">
              <w:rPr>
                <w:rFonts w:ascii="Cambria Math" w:hAnsi="Cambria Math" w:cs="Calibri"/>
                <w:lang w:val="hu-HU"/>
              </w:rPr>
              <w:t>ének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biztosítása a helyi közigazgatás</w:t>
            </w:r>
            <w:r w:rsidR="00EE7990">
              <w:rPr>
                <w:rFonts w:ascii="Cambria Math" w:hAnsi="Cambria Math" w:cs="Calibri"/>
                <w:lang w:val="hu-HU"/>
              </w:rPr>
              <w:t>ban végzett tevékenység során;</w:t>
            </w:r>
          </w:p>
          <w:p w14:paraId="605EAC99" w14:textId="77777777" w:rsidR="00571482" w:rsidRPr="008C37C5" w:rsidRDefault="00571482" w:rsidP="00571482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Jóhiszeműség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– </w:t>
            </w:r>
            <w:r w:rsidRPr="008C37C5">
              <w:rPr>
                <w:rFonts w:ascii="Cambria Math" w:hAnsi="Cambria Math" w:cs="Calibri"/>
                <w:lang w:val="hu-HU"/>
              </w:rPr>
              <w:t>becsületesség és tisztesség a köztisztviselői hivatás gyakorlása során</w:t>
            </w:r>
            <w:r w:rsidR="00EE7990">
              <w:rPr>
                <w:rFonts w:ascii="Cambria Math" w:hAnsi="Cambria Math" w:cs="Calibri"/>
                <w:lang w:val="hu-HU"/>
              </w:rPr>
              <w:t>;</w:t>
            </w:r>
          </w:p>
          <w:p w14:paraId="2B10406D" w14:textId="77777777" w:rsidR="00F075F8" w:rsidRPr="008C37C5" w:rsidRDefault="00F075F8" w:rsidP="00571482">
            <w:pPr>
              <w:ind w:left="33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Titoktartás</w:t>
            </w:r>
            <w:r w:rsidR="00175876" w:rsidRPr="008C37C5">
              <w:rPr>
                <w:rFonts w:ascii="Cambria Math" w:hAnsi="Cambria Math" w:cs="Calibri"/>
                <w:b/>
                <w:lang w:val="hu-HU"/>
              </w:rPr>
              <w:t xml:space="preserve"> 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– </w:t>
            </w:r>
            <w:r w:rsidRPr="008C37C5">
              <w:rPr>
                <w:rFonts w:ascii="Cambria Math" w:hAnsi="Cambria Math" w:cs="Calibri"/>
                <w:lang w:val="hu-HU"/>
              </w:rPr>
              <w:t>a munkavállaló azon kötelessége, miszerint tiszteletben tartja a szakmai kapcsolat eredményeként szerzett információk titkosságát</w:t>
            </w:r>
            <w:r w:rsidR="00EE7990">
              <w:rPr>
                <w:rFonts w:ascii="Cambria Math" w:hAnsi="Cambria Math" w:cs="Calibri"/>
                <w:lang w:val="hu-HU"/>
              </w:rPr>
              <w:t>, az ilyen információkat,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külön engedély hiányában</w:t>
            </w:r>
            <w:r w:rsidR="0076257F" w:rsidRPr="008C37C5">
              <w:rPr>
                <w:rFonts w:ascii="Cambria Math" w:hAnsi="Cambria Math" w:cs="Calibri"/>
                <w:lang w:val="hu-HU"/>
              </w:rPr>
              <w:t xml:space="preserve"> harmadik feleknek </w:t>
            </w:r>
            <w:r w:rsidRPr="008C37C5">
              <w:rPr>
                <w:rFonts w:ascii="Cambria Math" w:hAnsi="Cambria Math" w:cs="Calibri"/>
                <w:lang w:val="hu-HU"/>
              </w:rPr>
              <w:t>nem adja ki, ha</w:t>
            </w:r>
            <w:r w:rsidR="00B52C1A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csak</w:t>
            </w:r>
            <w:r w:rsidR="0076257F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az információ nyilvánosságra hozatalának</w:t>
            </w:r>
            <w:r w:rsidR="0076257F" w:rsidRPr="008C37C5">
              <w:rPr>
                <w:rFonts w:ascii="Cambria Math" w:hAnsi="Cambria Math" w:cs="Calibri"/>
                <w:lang w:val="hu-HU"/>
              </w:rPr>
              <w:t xml:space="preserve"> tekintetében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jogi vagy szakmai kötelezettség</w:t>
            </w:r>
            <w:r w:rsidR="0076257F" w:rsidRPr="008C37C5">
              <w:rPr>
                <w:rFonts w:ascii="Cambria Math" w:hAnsi="Cambria Math" w:cs="Calibri"/>
                <w:lang w:val="hu-HU"/>
              </w:rPr>
              <w:t>gel rendelkezik</w:t>
            </w:r>
            <w:r w:rsidRPr="008C37C5">
              <w:rPr>
                <w:rFonts w:ascii="Cambria Math" w:hAnsi="Cambria Math" w:cs="Calibri"/>
                <w:lang w:val="hu-HU"/>
              </w:rPr>
              <w:t>.</w:t>
            </w:r>
          </w:p>
          <w:p w14:paraId="29845D15" w14:textId="77777777" w:rsidR="00175876" w:rsidRPr="008C37C5" w:rsidRDefault="00175876" w:rsidP="0076257F">
            <w:pPr>
              <w:jc w:val="both"/>
              <w:rPr>
                <w:rFonts w:ascii="Cambria Math" w:hAnsi="Cambria Math" w:cs="Calibri"/>
                <w:lang w:val="hu-HU"/>
              </w:rPr>
            </w:pPr>
          </w:p>
        </w:tc>
      </w:tr>
      <w:tr w:rsidR="00175876" w:rsidRPr="008C37C5" w14:paraId="3A381636" w14:textId="77777777" w:rsidTr="000F2C81">
        <w:tc>
          <w:tcPr>
            <w:tcW w:w="3046" w:type="dxa"/>
            <w:shd w:val="clear" w:color="auto" w:fill="auto"/>
          </w:tcPr>
          <w:p w14:paraId="0042649A" w14:textId="77777777" w:rsidR="00175876" w:rsidRPr="008C37C5" w:rsidRDefault="00EE7990" w:rsidP="00EE7990">
            <w:pPr>
              <w:pStyle w:val="ListParagraph"/>
              <w:tabs>
                <w:tab w:val="left" w:pos="1134"/>
              </w:tabs>
              <w:ind w:left="0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b/>
                <w:i/>
                <w:lang w:val="hu-HU"/>
              </w:rPr>
              <w:lastRenderedPageBreak/>
              <w:t>A v</w:t>
            </w:r>
            <w:r w:rsidR="001F3D55" w:rsidRPr="008C37C5">
              <w:rPr>
                <w:rFonts w:ascii="Cambria Math" w:hAnsi="Cambria Math" w:cs="Calibri"/>
                <w:b/>
                <w:i/>
                <w:lang w:val="hu-HU"/>
              </w:rPr>
              <w:t>iselkedésünket szabályozó elvek</w:t>
            </w:r>
          </w:p>
          <w:p w14:paraId="0E1A271D" w14:textId="77777777" w:rsidR="00175876" w:rsidRPr="008C37C5" w:rsidRDefault="00175876" w:rsidP="000F2C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Style w:val="rvts6"/>
                <w:rFonts w:ascii="Cambria Math" w:hAnsi="Cambria Math"/>
                <w:color w:val="000000"/>
                <w:bdr w:val="none" w:sz="0" w:space="0" w:color="auto" w:frame="1"/>
                <w:lang w:val="hu-HU"/>
              </w:rPr>
              <w:t xml:space="preserve">    </w:t>
            </w:r>
          </w:p>
          <w:p w14:paraId="1C5B3BBC" w14:textId="77777777" w:rsidR="00175876" w:rsidRPr="008C37C5" w:rsidRDefault="00175876" w:rsidP="000F2C8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mbria Math" w:hAnsi="Cambria Math" w:cs="Calibri"/>
                <w:lang w:val="hu-HU"/>
              </w:rPr>
            </w:pPr>
          </w:p>
        </w:tc>
        <w:tc>
          <w:tcPr>
            <w:tcW w:w="6999" w:type="dxa"/>
            <w:shd w:val="clear" w:color="auto" w:fill="auto"/>
          </w:tcPr>
          <w:p w14:paraId="730F65FB" w14:textId="77777777" w:rsidR="001F3D55" w:rsidRPr="008C37C5" w:rsidRDefault="00EE7990" w:rsidP="00175876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b/>
                <w:lang w:val="hu-HU"/>
              </w:rPr>
              <w:t xml:space="preserve">az Alkotmány és a törvény </w:t>
            </w:r>
            <w:r w:rsidR="001F3D55" w:rsidRPr="008C37C5">
              <w:rPr>
                <w:rFonts w:ascii="Cambria Math" w:hAnsi="Cambria Math" w:cs="Calibri"/>
                <w:b/>
                <w:lang w:val="hu-HU"/>
              </w:rPr>
              <w:t xml:space="preserve">felsőbbrendűségének elve, </w:t>
            </w:r>
            <w:r w:rsidR="001F3D55" w:rsidRPr="008C37C5">
              <w:rPr>
                <w:rFonts w:ascii="Cambria Math" w:hAnsi="Cambria Math" w:cs="Calibri"/>
                <w:lang w:val="hu-HU"/>
              </w:rPr>
              <w:t>amely szerint a munkavállalók kötelesek betartani az Alkotmányt és az ország törvényeit;</w:t>
            </w:r>
          </w:p>
          <w:p w14:paraId="30C83390" w14:textId="77777777" w:rsidR="00175876" w:rsidRPr="008C37C5" w:rsidRDefault="001F3D55" w:rsidP="00175876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 az erkölcsi magatartás elve, </w:t>
            </w:r>
            <w:r w:rsidRPr="008C37C5">
              <w:rPr>
                <w:rFonts w:ascii="Cambria Math" w:hAnsi="Cambria Math" w:cs="Calibri"/>
                <w:lang w:val="hu-HU"/>
              </w:rPr>
              <w:t>amelynek feltétele, hogy a köztisztviselői hivatás gyakorlása során a személyzet tisztességet, méltányosságot és lelkiismeretességet, erkölcsi</w:t>
            </w:r>
            <w:r w:rsidR="00EE7990">
              <w:rPr>
                <w:rFonts w:ascii="Cambria Math" w:hAnsi="Cambria Math" w:cs="Calibri"/>
                <w:lang w:val="hu-HU"/>
              </w:rPr>
              <w:t xml:space="preserve"> feddhetetlenséget</w:t>
            </w:r>
            <w:r w:rsidRPr="008C37C5">
              <w:rPr>
                <w:rFonts w:ascii="Cambria Math" w:hAnsi="Cambria Math" w:cs="Calibri"/>
                <w:lang w:val="hu-HU"/>
              </w:rPr>
              <w:t>, pártatlanságot, függetlenséget és objektivitást mutasson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0B6EEC04" w14:textId="77777777" w:rsidR="00175876" w:rsidRPr="008C37C5" w:rsidRDefault="001F3D55" w:rsidP="00175876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a szakmaiság elve, </w:t>
            </w:r>
            <w:r w:rsidRPr="008C37C5">
              <w:rPr>
                <w:rFonts w:ascii="Cambria Math" w:hAnsi="Cambria Math" w:cs="Calibri"/>
                <w:lang w:val="hu-HU"/>
              </w:rPr>
              <w:t>amely szerint a munka</w:t>
            </w:r>
            <w:r w:rsidR="00EE7990">
              <w:rPr>
                <w:rFonts w:ascii="Cambria Math" w:hAnsi="Cambria Math" w:cs="Calibri"/>
                <w:lang w:val="hu-HU"/>
              </w:rPr>
              <w:t>vállalók kötelesek közszolgálati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feladataikat felelősséggel, kompetenciával, hatékonysággal és hatásoss</w:t>
            </w:r>
            <w:r w:rsidR="00687167" w:rsidRPr="008C37C5">
              <w:rPr>
                <w:rFonts w:ascii="Cambria Math" w:hAnsi="Cambria Math" w:cs="Calibri"/>
                <w:lang w:val="hu-HU"/>
              </w:rPr>
              <w:t>ággal ellátni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3960FA9E" w14:textId="77777777" w:rsidR="00175876" w:rsidRPr="008C37C5" w:rsidRDefault="00687167" w:rsidP="00175876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a közérdek elsőbbségének elve, </w:t>
            </w:r>
            <w:r w:rsidRPr="008C37C5">
              <w:rPr>
                <w:rFonts w:ascii="Cambria Math" w:hAnsi="Cambria Math" w:cs="Calibri"/>
                <w:lang w:val="hu-HU"/>
              </w:rPr>
              <w:t>miszerint a személyzet a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köztisztviselői hivatás gyakorlása során köteles a közérdeket a saját érdek fülé helyezni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587B5CD5" w14:textId="77777777" w:rsidR="00175876" w:rsidRPr="008C37C5" w:rsidRDefault="00687167" w:rsidP="00175876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a gondolat- és véleménynyilvánítási szabadság elve, </w:t>
            </w:r>
            <w:r w:rsidRPr="008C37C5">
              <w:rPr>
                <w:rFonts w:ascii="Cambria Math" w:hAnsi="Cambria Math" w:cs="Calibri"/>
                <w:lang w:val="hu-HU"/>
              </w:rPr>
              <w:t>amely szerint a munkavállalók kifejezhetik és megalapoz</w:t>
            </w:r>
            <w:r w:rsidR="001C5122">
              <w:rPr>
                <w:rFonts w:ascii="Cambria Math" w:hAnsi="Cambria Math" w:cs="Calibri"/>
                <w:lang w:val="hu-HU"/>
              </w:rPr>
              <w:t>hatj</w:t>
            </w:r>
            <w:r w:rsidRPr="008C37C5">
              <w:rPr>
                <w:rFonts w:ascii="Cambria Math" w:hAnsi="Cambria Math" w:cs="Calibri"/>
                <w:lang w:val="hu-HU"/>
              </w:rPr>
              <w:t>ák véleményeiket, tiszteletben tartva a jogrendet és az erkölcsi mintát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0FA544A1" w14:textId="77777777" w:rsidR="00175876" w:rsidRPr="008C37C5" w:rsidRDefault="00687167" w:rsidP="00175876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az intézmény iránti lojalitás elve </w:t>
            </w:r>
            <w:r w:rsidR="001C5122">
              <w:rPr>
                <w:rFonts w:ascii="Cambria Math" w:hAnsi="Cambria Math" w:cs="Calibri"/>
                <w:lang w:val="hu-HU"/>
              </w:rPr>
              <w:t>–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a személyzet megvédi a POS presztízsét és tartózkodik minden olyan cselekménytől vagy ténytől, amely sértheti az intézmény képét vagy jogi érdekeit</w:t>
            </w:r>
            <w:r w:rsidR="00175876" w:rsidRPr="008C37C5">
              <w:rPr>
                <w:rFonts w:ascii="Cambria Math" w:hAnsi="Cambria Math" w:cs="Calibri"/>
                <w:lang w:val="hu-HU"/>
              </w:rPr>
              <w:t>;</w:t>
            </w:r>
          </w:p>
          <w:p w14:paraId="52468185" w14:textId="77777777" w:rsidR="00175876" w:rsidRPr="008C37C5" w:rsidRDefault="000B1D99" w:rsidP="00175876">
            <w:pPr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 xml:space="preserve">a nyitottság és az átláthatóság elve, </w:t>
            </w:r>
            <w:r w:rsidRPr="008C37C5">
              <w:rPr>
                <w:rFonts w:ascii="Cambria Math" w:hAnsi="Cambria Math" w:cs="Calibri"/>
                <w:lang w:val="hu-HU"/>
              </w:rPr>
              <w:t xml:space="preserve">amely szerint a </w:t>
            </w:r>
            <w:r w:rsidRPr="008C37C5">
              <w:rPr>
                <w:rFonts w:ascii="Cambria Math" w:hAnsi="Cambria Math" w:cs="Calibri"/>
                <w:lang w:val="hu-HU"/>
              </w:rPr>
              <w:lastRenderedPageBreak/>
              <w:t>munkavállalók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>köztisztviselői hivatásuk gyakorlása során</w:t>
            </w:r>
            <w:r w:rsidR="001C5122">
              <w:rPr>
                <w:rFonts w:ascii="Cambria Math" w:hAnsi="Cambria Math" w:cs="Calibri"/>
                <w:lang w:val="hu-HU"/>
              </w:rPr>
              <w:t xml:space="preserve"> végzett </w:t>
            </w:r>
            <w:r w:rsidRPr="008C37C5">
              <w:rPr>
                <w:rFonts w:ascii="Cambria Math" w:hAnsi="Cambria Math" w:cs="Calibri"/>
                <w:lang w:val="hu-HU"/>
              </w:rPr>
              <w:t>tevékenységei nyilvánosak, polgárokat célzók és figyelemmel kísérhetők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; </w:t>
            </w:r>
          </w:p>
          <w:p w14:paraId="75E3AB85" w14:textId="77777777" w:rsidR="00175876" w:rsidRPr="008C37C5" w:rsidRDefault="000B1D99" w:rsidP="000B1D99">
            <w:pPr>
              <w:pStyle w:val="ListParagraph"/>
              <w:numPr>
                <w:ilvl w:val="0"/>
                <w:numId w:val="18"/>
              </w:num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33" w:firstLine="0"/>
              <w:contextualSpacing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lang w:val="hu-HU"/>
              </w:rPr>
              <w:t>az esélyegyenlőség és a bánásmód elve, a férfiak és nők közötti egyenlőség előmozdítása és a megkülönböztetés</w:t>
            </w:r>
            <w:r w:rsidR="00F4656C">
              <w:rPr>
                <w:rFonts w:ascii="Cambria Math" w:hAnsi="Cambria Math" w:cs="Calibri"/>
                <w:b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>mentesség</w:t>
            </w:r>
            <w:r w:rsidR="00F4656C">
              <w:rPr>
                <w:rFonts w:ascii="Cambria Math" w:hAnsi="Cambria Math" w:cs="Calibri"/>
                <w:b/>
                <w:lang w:val="hu-HU"/>
              </w:rPr>
              <w:t>ének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 xml:space="preserve"> elve, </w:t>
            </w:r>
            <w:r w:rsidRPr="008C37C5">
              <w:rPr>
                <w:rFonts w:ascii="Cambria Math" w:hAnsi="Cambria Math" w:cs="Calibri"/>
                <w:lang w:val="hu-HU"/>
              </w:rPr>
              <w:t>amely szerint a munkaválla</w:t>
            </w:r>
            <w:r w:rsidR="00F4656C">
              <w:rPr>
                <w:rFonts w:ascii="Cambria Math" w:hAnsi="Cambria Math" w:cs="Calibri"/>
                <w:lang w:val="hu-HU"/>
              </w:rPr>
              <w:t>lók kötelesek egyenlő bánásmód</w:t>
            </w:r>
            <w:r w:rsidRPr="008C37C5">
              <w:rPr>
                <w:rFonts w:ascii="Cambria Math" w:hAnsi="Cambria Math" w:cs="Calibri"/>
                <w:lang w:val="hu-HU"/>
              </w:rPr>
              <w:t xml:space="preserve">ban részesíteni a polgárokat a hatóságok és intézmények előtt és ugyanazt a jogi rendszert alkalmazni azonos vagy hasonló helyzetekben. 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 xml:space="preserve"> </w:t>
            </w:r>
          </w:p>
        </w:tc>
      </w:tr>
      <w:tr w:rsidR="00175876" w:rsidRPr="008C37C5" w14:paraId="24D5C24A" w14:textId="77777777" w:rsidTr="000F2C81">
        <w:tc>
          <w:tcPr>
            <w:tcW w:w="10045" w:type="dxa"/>
            <w:gridSpan w:val="2"/>
            <w:shd w:val="clear" w:color="auto" w:fill="auto"/>
          </w:tcPr>
          <w:p w14:paraId="14B8EA10" w14:textId="77777777" w:rsidR="00175876" w:rsidRPr="008C37C5" w:rsidRDefault="00175876" w:rsidP="000F2C81">
            <w:pPr>
              <w:jc w:val="center"/>
              <w:rPr>
                <w:rFonts w:ascii="Cambria Math" w:hAnsi="Cambria Math" w:cs="Calibri"/>
                <w:b/>
                <w:i/>
                <w:lang w:val="hu-HU"/>
              </w:rPr>
            </w:pPr>
          </w:p>
          <w:p w14:paraId="14F8367D" w14:textId="77777777" w:rsidR="00175876" w:rsidRPr="008C37C5" w:rsidRDefault="00E97168" w:rsidP="000F2C81">
            <w:pPr>
              <w:jc w:val="center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Erk</w:t>
            </w:r>
            <w:r w:rsidR="00785C91" w:rsidRPr="008C37C5">
              <w:rPr>
                <w:rFonts w:ascii="Cambria Math" w:hAnsi="Cambria Math" w:cs="Calibri"/>
                <w:b/>
                <w:i/>
                <w:lang w:val="hu-HU"/>
              </w:rPr>
              <w:t>ö</w:t>
            </w: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lcsi szab</w:t>
            </w:r>
            <w:r w:rsidR="00821E88" w:rsidRPr="008C37C5">
              <w:rPr>
                <w:rFonts w:ascii="Cambria Math" w:hAnsi="Cambria Math" w:cs="Calibri"/>
                <w:b/>
                <w:i/>
                <w:lang w:val="hu-HU"/>
              </w:rPr>
              <w:t>á</w:t>
            </w:r>
            <w:r w:rsidR="008C37C5" w:rsidRPr="008C37C5">
              <w:rPr>
                <w:rFonts w:ascii="Cambria Math" w:hAnsi="Cambria Math" w:cs="Calibri"/>
                <w:b/>
                <w:i/>
                <w:lang w:val="hu-HU"/>
              </w:rPr>
              <w:t>lyok, amelyeket tiszteletben tar</w:t>
            </w:r>
            <w:r w:rsidR="005624CE">
              <w:rPr>
                <w:rFonts w:ascii="Cambria Math" w:hAnsi="Cambria Math" w:cs="Calibri"/>
                <w:b/>
                <w:i/>
                <w:lang w:val="hu-HU"/>
              </w:rPr>
              <w:t>tunk az intézmény</w:t>
            </w:r>
            <w:r w:rsidR="00F62EB7"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keretében</w:t>
            </w:r>
          </w:p>
          <w:p w14:paraId="114F289D" w14:textId="77777777" w:rsidR="00175876" w:rsidRPr="008C37C5" w:rsidRDefault="00175876" w:rsidP="000F2C81">
            <w:pPr>
              <w:jc w:val="center"/>
              <w:rPr>
                <w:rFonts w:ascii="Cambria Math" w:hAnsi="Cambria Math" w:cs="Calibri"/>
                <w:lang w:val="hu-HU"/>
              </w:rPr>
            </w:pPr>
          </w:p>
        </w:tc>
      </w:tr>
      <w:tr w:rsidR="00175876" w:rsidRPr="008C37C5" w14:paraId="7A646F8C" w14:textId="77777777" w:rsidTr="000F2C81">
        <w:tc>
          <w:tcPr>
            <w:tcW w:w="3046" w:type="dxa"/>
            <w:shd w:val="clear" w:color="auto" w:fill="auto"/>
          </w:tcPr>
          <w:p w14:paraId="378B4DA7" w14:textId="77777777" w:rsidR="00175876" w:rsidRPr="008C37C5" w:rsidRDefault="00F62EB7" w:rsidP="00F4656C">
            <w:pPr>
              <w:pStyle w:val="ListParagraph"/>
              <w:numPr>
                <w:ilvl w:val="0"/>
                <w:numId w:val="19"/>
              </w:numPr>
              <w:tabs>
                <w:tab w:val="left" w:pos="0"/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A hatályos jogszabályok és rendelkezések előírásai</w:t>
            </w:r>
            <w:r w:rsidR="00F4656C">
              <w:rPr>
                <w:rFonts w:ascii="Cambria Math" w:hAnsi="Cambria Math" w:cs="Calibri"/>
                <w:b/>
                <w:i/>
                <w:lang w:val="hu-HU"/>
              </w:rPr>
              <w:t>nak betartása</w:t>
            </w:r>
          </w:p>
        </w:tc>
        <w:tc>
          <w:tcPr>
            <w:tcW w:w="6999" w:type="dxa"/>
            <w:shd w:val="clear" w:color="auto" w:fill="auto"/>
          </w:tcPr>
          <w:p w14:paraId="762EBF0E" w14:textId="77777777" w:rsidR="00175876" w:rsidRPr="008C37C5" w:rsidRDefault="00F62EB7" w:rsidP="00F62EB7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Tevékenységünket a hatályos jogszabályokkal összhangban végezzük, biztosítva az Alkotmány és a törvény, valamint a közh</w:t>
            </w:r>
            <w:r w:rsidR="00F4656C">
              <w:rPr>
                <w:rFonts w:ascii="Cambria Math" w:hAnsi="Cambria Math" w:cs="Calibri"/>
                <w:lang w:val="hu-HU"/>
              </w:rPr>
              <w:t>atóságokkal és közintézmények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iránti hűséget. Megfelelünk a jelen Kódexbe</w:t>
            </w:r>
            <w:r w:rsidR="00F4656C">
              <w:rPr>
                <w:rFonts w:ascii="Cambria Math" w:hAnsi="Cambria Math" w:cs="Calibri"/>
                <w:lang w:val="hu-HU"/>
              </w:rPr>
              <w:t>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foglalt etikai szabályoknak, valamint adott esetben a szakma</w:t>
            </w:r>
            <w:r w:rsidRPr="008C37C5">
              <w:rPr>
                <w:rFonts w:ascii="Cambria Math" w:hAnsi="Cambria Math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lang w:val="hu-HU"/>
              </w:rPr>
              <w:t xml:space="preserve">sajátos szakmai etikájának.  </w:t>
            </w:r>
          </w:p>
        </w:tc>
      </w:tr>
      <w:tr w:rsidR="00175876" w:rsidRPr="008C37C5" w14:paraId="23662259" w14:textId="77777777" w:rsidTr="000F2C81">
        <w:tc>
          <w:tcPr>
            <w:tcW w:w="3046" w:type="dxa"/>
            <w:shd w:val="clear" w:color="auto" w:fill="auto"/>
          </w:tcPr>
          <w:p w14:paraId="7A184A9D" w14:textId="77777777" w:rsidR="00175876" w:rsidRPr="008C37C5" w:rsidRDefault="00FD4673" w:rsidP="00175876">
            <w:pPr>
              <w:pStyle w:val="ListParagraph"/>
              <w:numPr>
                <w:ilvl w:val="0"/>
                <w:numId w:val="19"/>
              </w:numPr>
              <w:tabs>
                <w:tab w:val="left" w:pos="142"/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M</w:t>
            </w:r>
            <w:r w:rsidR="00F4656C">
              <w:rPr>
                <w:rFonts w:ascii="Cambria Math" w:hAnsi="Cambria Math" w:cs="Calibri"/>
                <w:b/>
                <w:i/>
                <w:lang w:val="hu-HU"/>
              </w:rPr>
              <w:t xml:space="preserve">ás </w:t>
            </w:r>
            <w:r w:rsidR="006A718F" w:rsidRPr="008C37C5">
              <w:rPr>
                <w:rFonts w:ascii="Cambria Math" w:hAnsi="Cambria Math" w:cs="Calibri"/>
                <w:b/>
                <w:i/>
                <w:lang w:val="hu-HU"/>
              </w:rPr>
              <w:t>nemzeti</w:t>
            </w:r>
            <w:r w:rsidR="00F4656C">
              <w:rPr>
                <w:rFonts w:ascii="Cambria Math" w:hAnsi="Cambria Math" w:cs="Calibri"/>
                <w:b/>
                <w:i/>
                <w:lang w:val="hu-HU"/>
              </w:rPr>
              <w:t>ségű</w:t>
            </w:r>
            <w:r w:rsidR="006A718F"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</w:t>
            </w:r>
            <w:r w:rsidR="00F4656C">
              <w:rPr>
                <w:rFonts w:ascii="Cambria Math" w:hAnsi="Cambria Math" w:cs="Calibri"/>
                <w:b/>
                <w:i/>
                <w:lang w:val="hu-HU"/>
              </w:rPr>
              <w:t xml:space="preserve">vagy nemzetközi </w:t>
            </w:r>
            <w:r w:rsidR="006A718F" w:rsidRPr="008C37C5">
              <w:rPr>
                <w:rFonts w:ascii="Cambria Math" w:hAnsi="Cambria Math" w:cs="Calibri"/>
                <w:b/>
                <w:i/>
                <w:lang w:val="hu-HU"/>
              </w:rPr>
              <w:t>intézményekhez, szervezetekhez tartozó</w:t>
            </w: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munkatársakkal és</w:t>
            </w:r>
            <w:r w:rsidR="006A718F"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partnerekkel való kapcsolatok</w:t>
            </w:r>
          </w:p>
        </w:tc>
        <w:tc>
          <w:tcPr>
            <w:tcW w:w="6999" w:type="dxa"/>
            <w:shd w:val="clear" w:color="auto" w:fill="auto"/>
          </w:tcPr>
          <w:p w14:paraId="10F35383" w14:textId="77777777" w:rsidR="00175876" w:rsidRPr="008C37C5" w:rsidRDefault="003E6FE4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betöltött tisztségtől f</w:t>
            </w:r>
            <w:r w:rsidR="00FD4673" w:rsidRPr="008C37C5">
              <w:rPr>
                <w:rFonts w:ascii="Cambria Math" w:hAnsi="Cambria Math" w:cs="Calibri"/>
                <w:lang w:val="hu-HU"/>
              </w:rPr>
              <w:t>üggetlenül a</w:t>
            </w:r>
            <w:r w:rsidR="005624CE">
              <w:rPr>
                <w:rFonts w:ascii="Cambria Math" w:hAnsi="Cambria Math" w:cs="Calibri"/>
                <w:lang w:val="hu-HU"/>
              </w:rPr>
              <w:t>z intézmény</w:t>
            </w:r>
            <w:r w:rsidR="00FD4673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1D6FEC" w:rsidRPr="008C37C5">
              <w:rPr>
                <w:rFonts w:ascii="Cambria Math" w:hAnsi="Cambria Math" w:cs="Calibri"/>
                <w:lang w:val="hu-HU"/>
              </w:rPr>
              <w:t xml:space="preserve">valamennyi alkalmazottja </w:t>
            </w:r>
            <w:r w:rsidR="001016A6" w:rsidRPr="008C37C5">
              <w:rPr>
                <w:rFonts w:ascii="Cambria Math" w:hAnsi="Cambria Math" w:cs="Calibri"/>
                <w:lang w:val="hu-HU"/>
              </w:rPr>
              <w:t>a tiszteleten, jóhiszeműségen, méltányosságon, pártatlanságon</w:t>
            </w:r>
            <w:r w:rsidR="005624CE">
              <w:rPr>
                <w:rFonts w:ascii="Cambria Math" w:hAnsi="Cambria Math" w:cs="Calibri"/>
                <w:lang w:val="hu-HU"/>
              </w:rPr>
              <w:t xml:space="preserve"> és az </w:t>
            </w:r>
            <w:r w:rsidR="001016A6" w:rsidRPr="008C37C5">
              <w:rPr>
                <w:rFonts w:ascii="Cambria Math" w:hAnsi="Cambria Math" w:cs="Calibri"/>
                <w:lang w:val="hu-HU"/>
              </w:rPr>
              <w:t>objektivitáson</w:t>
            </w:r>
            <w:r w:rsidR="005624CE">
              <w:rPr>
                <w:rFonts w:ascii="Cambria Math" w:hAnsi="Cambria Math" w:cs="Calibri"/>
                <w:lang w:val="hu-HU"/>
              </w:rPr>
              <w:t xml:space="preserve"> </w:t>
            </w:r>
            <w:r w:rsidR="001016A6" w:rsidRPr="008C37C5">
              <w:rPr>
                <w:rFonts w:ascii="Cambria Math" w:hAnsi="Cambria Math" w:cs="Calibri"/>
                <w:lang w:val="hu-HU"/>
              </w:rPr>
              <w:t>alapuló</w:t>
            </w:r>
            <w:r w:rsidR="005624CE">
              <w:rPr>
                <w:rFonts w:ascii="Cambria Math" w:hAnsi="Cambria Math" w:cs="Calibri"/>
                <w:lang w:val="hu-HU"/>
              </w:rPr>
              <w:t xml:space="preserve"> magatartást mutat, mind a többi kollégával, mind</w:t>
            </w:r>
            <w:r w:rsidR="001016A6" w:rsidRPr="008C37C5">
              <w:rPr>
                <w:rFonts w:ascii="Cambria Math" w:hAnsi="Cambria Math" w:cs="Calibri"/>
                <w:lang w:val="hu-HU"/>
              </w:rPr>
              <w:t xml:space="preserve"> más intézmények és szervezetek munka</w:t>
            </w:r>
            <w:r w:rsidR="005624CE">
              <w:rPr>
                <w:rFonts w:ascii="Cambria Math" w:hAnsi="Cambria Math" w:cs="Calibri"/>
                <w:lang w:val="hu-HU"/>
              </w:rPr>
              <w:t xml:space="preserve">társaival, </w:t>
            </w:r>
            <w:r w:rsidR="001016A6" w:rsidRPr="008C37C5">
              <w:rPr>
                <w:rFonts w:ascii="Cambria Math" w:hAnsi="Cambria Math" w:cs="Calibri"/>
                <w:lang w:val="hu-HU"/>
              </w:rPr>
              <w:t xml:space="preserve">partnereivel való kapcsolatban egyaránt. </w:t>
            </w:r>
          </w:p>
          <w:p w14:paraId="61D78069" w14:textId="77777777" w:rsidR="00175876" w:rsidRPr="008C37C5" w:rsidRDefault="005624CE" w:rsidP="005624CE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 xml:space="preserve">A nemzetközi kapcsolatok terén </w:t>
            </w:r>
            <w:r w:rsidR="001016A6" w:rsidRPr="008C37C5">
              <w:rPr>
                <w:rFonts w:ascii="Cambria Math" w:hAnsi="Cambria Math" w:cs="Calibri"/>
                <w:lang w:val="hu-HU"/>
              </w:rPr>
              <w:t xml:space="preserve">tiszteletben tartjuk a kapott megbízatás korlátait, </w:t>
            </w:r>
            <w:r>
              <w:rPr>
                <w:rFonts w:ascii="Cambria Math" w:hAnsi="Cambria Math" w:cs="Calibri"/>
                <w:lang w:val="hu-HU"/>
              </w:rPr>
              <w:t xml:space="preserve">kedvező képet mutatunk </w:t>
            </w:r>
            <w:r w:rsidR="001016A6" w:rsidRPr="008C37C5">
              <w:rPr>
                <w:rFonts w:ascii="Cambria Math" w:hAnsi="Cambria Math" w:cs="Calibri"/>
                <w:lang w:val="hu-HU"/>
              </w:rPr>
              <w:t xml:space="preserve">az </w:t>
            </w:r>
            <w:r>
              <w:rPr>
                <w:rFonts w:ascii="Cambria Math" w:hAnsi="Cambria Math" w:cs="Calibri"/>
                <w:lang w:val="hu-HU"/>
              </w:rPr>
              <w:t>i</w:t>
            </w:r>
            <w:r w:rsidR="001016A6" w:rsidRPr="008C37C5">
              <w:rPr>
                <w:rFonts w:ascii="Cambria Math" w:hAnsi="Cambria Math" w:cs="Calibri"/>
                <w:lang w:val="hu-HU"/>
              </w:rPr>
              <w:t>nt</w:t>
            </w:r>
            <w:r>
              <w:rPr>
                <w:rFonts w:ascii="Cambria Math" w:hAnsi="Cambria Math" w:cs="Calibri"/>
                <w:lang w:val="hu-HU"/>
              </w:rPr>
              <w:t xml:space="preserve">ézményről, </w:t>
            </w:r>
            <w:r w:rsidR="001016A6" w:rsidRPr="008C37C5">
              <w:rPr>
                <w:rFonts w:ascii="Cambria Math" w:hAnsi="Cambria Math" w:cs="Calibri"/>
                <w:lang w:val="hu-HU"/>
              </w:rPr>
              <w:t>tisztel</w:t>
            </w:r>
            <w:r>
              <w:rPr>
                <w:rFonts w:ascii="Cambria Math" w:hAnsi="Cambria Math" w:cs="Calibri"/>
                <w:lang w:val="hu-HU"/>
              </w:rPr>
              <w:t xml:space="preserve">etben tarjuk az </w:t>
            </w:r>
            <w:r w:rsidR="001016A6" w:rsidRPr="008C37C5">
              <w:rPr>
                <w:rFonts w:ascii="Cambria Math" w:hAnsi="Cambria Math" w:cs="Calibri"/>
                <w:lang w:val="hu-HU"/>
              </w:rPr>
              <w:t xml:space="preserve">etikai kódexet és a </w:t>
            </w:r>
            <w:r w:rsidR="00456193" w:rsidRPr="008C37C5">
              <w:rPr>
                <w:rFonts w:ascii="Cambria Math" w:hAnsi="Cambria Math" w:cs="Calibri"/>
                <w:lang w:val="hu-HU"/>
              </w:rPr>
              <w:t>be</w:t>
            </w:r>
            <w:r w:rsidR="001016A6" w:rsidRPr="008C37C5">
              <w:rPr>
                <w:rFonts w:ascii="Cambria Math" w:hAnsi="Cambria Math" w:cs="Calibri"/>
                <w:lang w:val="hu-HU"/>
              </w:rPr>
              <w:t>fogadó ország szabályait és szokásait.</w:t>
            </w:r>
          </w:p>
        </w:tc>
      </w:tr>
      <w:tr w:rsidR="00175876" w:rsidRPr="008C37C5" w14:paraId="573C3AFA" w14:textId="77777777" w:rsidTr="000F2C81">
        <w:tc>
          <w:tcPr>
            <w:tcW w:w="3046" w:type="dxa"/>
            <w:shd w:val="clear" w:color="auto" w:fill="auto"/>
          </w:tcPr>
          <w:p w14:paraId="204080E2" w14:textId="77777777" w:rsidR="00175876" w:rsidRPr="008C37C5" w:rsidRDefault="00D85C17" w:rsidP="0017587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A szervezeti kultúra sokfélesége</w:t>
            </w:r>
          </w:p>
        </w:tc>
        <w:tc>
          <w:tcPr>
            <w:tcW w:w="6999" w:type="dxa"/>
            <w:shd w:val="clear" w:color="auto" w:fill="auto"/>
          </w:tcPr>
          <w:p w14:paraId="659D1BB1" w14:textId="77777777" w:rsidR="00175876" w:rsidRPr="008C37C5" w:rsidRDefault="00D85C17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</w:t>
            </w:r>
            <w:r w:rsidR="005624CE">
              <w:rPr>
                <w:rFonts w:ascii="Cambria Math" w:hAnsi="Cambria Math" w:cs="Calibri"/>
                <w:lang w:val="hu-HU"/>
              </w:rPr>
              <w:t>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keretén belül tiszteletben tartjuk a vélemények és a különböző munkastílusok sokféleségét, és ezeket a különbségeket hasznosítjuk annak érdekében, hogy pozitív szervezeti környezetet teremtsünk.</w:t>
            </w:r>
          </w:p>
        </w:tc>
      </w:tr>
      <w:tr w:rsidR="00175876" w:rsidRPr="008C37C5" w14:paraId="22F3C758" w14:textId="77777777" w:rsidTr="000F2C81">
        <w:tc>
          <w:tcPr>
            <w:tcW w:w="3046" w:type="dxa"/>
            <w:shd w:val="clear" w:color="auto" w:fill="auto"/>
          </w:tcPr>
          <w:p w14:paraId="3CAF7551" w14:textId="77777777" w:rsidR="00175876" w:rsidRPr="008C37C5" w:rsidRDefault="00D85C17" w:rsidP="0017587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Magas színvonalú közszolgáltatás biztosítása</w:t>
            </w:r>
          </w:p>
        </w:tc>
        <w:tc>
          <w:tcPr>
            <w:tcW w:w="6999" w:type="dxa"/>
            <w:shd w:val="clear" w:color="auto" w:fill="auto"/>
          </w:tcPr>
          <w:p w14:paraId="32347EDE" w14:textId="77777777" w:rsidR="00175876" w:rsidRPr="008C37C5" w:rsidRDefault="00D85C17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Minőségi közszolgáltatást biztosítunk az állampolgárok javára, figyelembe véve elvárásaikat az alkalmazandó jogszabályi előírásoknak megfelelően. </w:t>
            </w:r>
          </w:p>
        </w:tc>
      </w:tr>
      <w:tr w:rsidR="00175876" w:rsidRPr="008C37C5" w14:paraId="5B849E1F" w14:textId="77777777" w:rsidTr="000F2C81">
        <w:tc>
          <w:tcPr>
            <w:tcW w:w="3046" w:type="dxa"/>
            <w:shd w:val="clear" w:color="auto" w:fill="auto"/>
          </w:tcPr>
          <w:p w14:paraId="7D333363" w14:textId="77777777" w:rsidR="00175876" w:rsidRPr="008C37C5" w:rsidRDefault="00D85C17" w:rsidP="0017587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Érdekellentét és összeférhetetlenség</w:t>
            </w:r>
          </w:p>
        </w:tc>
        <w:tc>
          <w:tcPr>
            <w:tcW w:w="6999" w:type="dxa"/>
            <w:shd w:val="clear" w:color="auto" w:fill="auto"/>
          </w:tcPr>
          <w:p w14:paraId="3047548D" w14:textId="77777777" w:rsidR="00175876" w:rsidRPr="008C37C5" w:rsidRDefault="00785C91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Fe</w:t>
            </w:r>
            <w:r w:rsidR="005624CE">
              <w:rPr>
                <w:rFonts w:ascii="Cambria Math" w:hAnsi="Cambria Math" w:cs="Calibri"/>
                <w:lang w:val="hu-HU"/>
              </w:rPr>
              <w:t>nntartjuk tárgyilagosságunkat,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elkerüljük az érdekellentéteket és minden más olyan helyzetet, amely érdekellentétet és összeférhetetlenséget okozhat, ahogy azt a jelen jogszabályok meghatározzák.</w:t>
            </w:r>
          </w:p>
          <w:p w14:paraId="3B837B2A" w14:textId="77777777" w:rsidR="00175876" w:rsidRPr="008C37C5" w:rsidRDefault="004407F4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Amennyiben érdekellentétre vagy összeférhetetlenség</w:t>
            </w:r>
            <w:r w:rsidR="005624CE">
              <w:rPr>
                <w:rFonts w:ascii="Cambria Math" w:hAnsi="Cambria Math" w:cs="Calibri"/>
                <w:lang w:val="hu-HU"/>
              </w:rPr>
              <w:t xml:space="preserve">re utaló helyzet merül fel, </w:t>
            </w:r>
            <w:r w:rsidRPr="008C37C5">
              <w:rPr>
                <w:rFonts w:ascii="Cambria Math" w:hAnsi="Cambria Math" w:cs="Calibri"/>
                <w:lang w:val="hu-HU"/>
              </w:rPr>
              <w:t>a</w:t>
            </w:r>
            <w:r w:rsidR="005624CE">
              <w:rPr>
                <w:rFonts w:ascii="Cambria Math" w:hAnsi="Cambria Math" w:cs="Calibri"/>
                <w:lang w:val="hu-HU"/>
              </w:rPr>
              <w:t>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személyzete írásban értesíti a hierarchikus feletteseket.</w:t>
            </w:r>
          </w:p>
          <w:p w14:paraId="3E18E136" w14:textId="77777777" w:rsidR="00175876" w:rsidRPr="008C37C5" w:rsidRDefault="00D52C45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Ilyen helyzetekben a</w:t>
            </w:r>
            <w:r w:rsidR="005624CE">
              <w:rPr>
                <w:rFonts w:ascii="Cambria Math" w:hAnsi="Cambria Math" w:cs="Calibri"/>
                <w:lang w:val="hu-HU"/>
              </w:rPr>
              <w:t>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igazgatásának kötelessége, hogy intézményi intézkedések által biztosítsa a nyilvánosságra hozott érdekellentét vagy összeférhetetlenség elkerülését, anélkül, hog</w:t>
            </w:r>
            <w:r w:rsidR="006953E1" w:rsidRPr="008C37C5">
              <w:rPr>
                <w:rFonts w:ascii="Cambria Math" w:hAnsi="Cambria Math" w:cs="Calibri"/>
                <w:lang w:val="hu-HU"/>
              </w:rPr>
              <w:t xml:space="preserve">y az </w:t>
            </w:r>
            <w:r w:rsidR="00990CE3" w:rsidRPr="008C37C5">
              <w:rPr>
                <w:rFonts w:ascii="Cambria Math" w:hAnsi="Cambria Math" w:cs="Calibri"/>
                <w:lang w:val="hu-HU"/>
              </w:rPr>
              <w:t>érdekellentét, illetve a bejelentett összeférhetetlenség</w:t>
            </w:r>
            <w:r w:rsidR="006953E1" w:rsidRPr="008C37C5">
              <w:rPr>
                <w:rFonts w:ascii="Cambria Math" w:hAnsi="Cambria Math" w:cs="Calibri"/>
                <w:lang w:val="hu-HU"/>
              </w:rPr>
              <w:t xml:space="preserve"> tárgyát képező személy </w:t>
            </w:r>
            <w:r w:rsidR="00990CE3" w:rsidRPr="008C37C5">
              <w:rPr>
                <w:rFonts w:ascii="Cambria Math" w:hAnsi="Cambria Math" w:cs="Calibri"/>
                <w:lang w:val="hu-HU"/>
              </w:rPr>
              <w:t>méltósága, szakmai és</w:t>
            </w:r>
            <w:r w:rsidR="006953E1" w:rsidRPr="008C37C5">
              <w:rPr>
                <w:rFonts w:ascii="Cambria Math" w:hAnsi="Cambria Math" w:cs="Calibri"/>
                <w:lang w:val="hu-HU"/>
              </w:rPr>
              <w:t xml:space="preserve"> szerződéses jogai</w:t>
            </w:r>
            <w:r w:rsidR="00990CE3" w:rsidRPr="008C37C5">
              <w:rPr>
                <w:rFonts w:ascii="Cambria Math" w:hAnsi="Cambria Math" w:cs="Calibri"/>
                <w:lang w:val="hu-HU"/>
              </w:rPr>
              <w:t xml:space="preserve"> sérülnének. </w:t>
            </w:r>
            <w:r w:rsidR="006953E1" w:rsidRPr="008C37C5">
              <w:rPr>
                <w:rFonts w:ascii="Cambria Math" w:hAnsi="Cambria Math" w:cs="Calibri"/>
                <w:lang w:val="hu-HU"/>
              </w:rPr>
              <w:t xml:space="preserve">  </w:t>
            </w:r>
          </w:p>
        </w:tc>
      </w:tr>
      <w:tr w:rsidR="00175876" w:rsidRPr="008C37C5" w14:paraId="3F82BFAF" w14:textId="77777777" w:rsidTr="000F2C81">
        <w:tc>
          <w:tcPr>
            <w:tcW w:w="3046" w:type="dxa"/>
            <w:shd w:val="clear" w:color="auto" w:fill="auto"/>
          </w:tcPr>
          <w:p w14:paraId="09B2EC5F" w14:textId="77777777" w:rsidR="00175876" w:rsidRPr="008C37C5" w:rsidRDefault="00E578E2" w:rsidP="0017587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Vagyonnyilatkozatok és érdekeltségi nyilatkozatok</w:t>
            </w:r>
          </w:p>
        </w:tc>
        <w:tc>
          <w:tcPr>
            <w:tcW w:w="6999" w:type="dxa"/>
            <w:shd w:val="clear" w:color="auto" w:fill="auto"/>
          </w:tcPr>
          <w:p w14:paraId="3022BB93" w14:textId="77777777" w:rsidR="00175876" w:rsidRPr="008C37C5" w:rsidRDefault="008F5A1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>Benyújtjuk a</w:t>
            </w:r>
            <w:r w:rsidR="00E578E2" w:rsidRPr="008C37C5">
              <w:rPr>
                <w:rFonts w:ascii="Cambria Math" w:hAnsi="Cambria Math" w:cs="Calibri"/>
                <w:lang w:val="hu-HU"/>
              </w:rPr>
              <w:t xml:space="preserve"> vagyonnyilatkozatokat és érdekeltségi nyilatkozatokat tisztségünk betöltésének teljes időtartama alatt.</w:t>
            </w:r>
          </w:p>
        </w:tc>
      </w:tr>
      <w:tr w:rsidR="00175876" w:rsidRPr="008C37C5" w14:paraId="59CF56C4" w14:textId="77777777" w:rsidTr="000F2C81">
        <w:trPr>
          <w:trHeight w:val="2123"/>
        </w:trPr>
        <w:tc>
          <w:tcPr>
            <w:tcW w:w="3046" w:type="dxa"/>
            <w:shd w:val="clear" w:color="auto" w:fill="auto"/>
          </w:tcPr>
          <w:p w14:paraId="160068C7" w14:textId="77777777" w:rsidR="00175876" w:rsidRPr="008C37C5" w:rsidRDefault="008C37C5" w:rsidP="00175876">
            <w:pPr>
              <w:pStyle w:val="ListParagraph"/>
              <w:numPr>
                <w:ilvl w:val="0"/>
                <w:numId w:val="19"/>
              </w:numPr>
              <w:tabs>
                <w:tab w:val="left" w:pos="317"/>
              </w:tabs>
              <w:spacing w:line="276" w:lineRule="auto"/>
              <w:ind w:left="34" w:firstLine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lastRenderedPageBreak/>
              <w:t>Ajándékokra vonatkozó szabá</w:t>
            </w:r>
            <w:r w:rsidR="00E578E2" w:rsidRPr="008C37C5">
              <w:rPr>
                <w:rFonts w:ascii="Cambria Math" w:hAnsi="Cambria Math" w:cs="Calibri"/>
                <w:b/>
                <w:i/>
                <w:lang w:val="hu-HU"/>
              </w:rPr>
              <w:t>lyzat</w:t>
            </w:r>
          </w:p>
        </w:tc>
        <w:tc>
          <w:tcPr>
            <w:tcW w:w="6999" w:type="dxa"/>
            <w:shd w:val="clear" w:color="auto" w:fill="auto"/>
          </w:tcPr>
          <w:p w14:paraId="28C069B8" w14:textId="77777777" w:rsidR="00175876" w:rsidRPr="008C37C5" w:rsidRDefault="001D0BEF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Nem kínálunk, kérünk vagy fogadunk el olyan ajándékokat, amelyek </w:t>
            </w:r>
            <w:r w:rsidR="009A25B1" w:rsidRPr="008C37C5">
              <w:rPr>
                <w:rFonts w:ascii="Cambria Math" w:hAnsi="Cambria Math" w:cs="Calibri"/>
                <w:lang w:val="hu-HU"/>
              </w:rPr>
              <w:t xml:space="preserve">befolyásolhatják a pártatlanságot </w:t>
            </w:r>
            <w:r w:rsidRPr="008C37C5">
              <w:rPr>
                <w:rFonts w:ascii="Cambria Math" w:hAnsi="Cambria Math" w:cs="Calibri"/>
                <w:lang w:val="hu-HU"/>
              </w:rPr>
              <w:t xml:space="preserve">a </w:t>
            </w:r>
            <w:r w:rsidR="009A25B1" w:rsidRPr="008C37C5">
              <w:rPr>
                <w:rFonts w:ascii="Cambria Math" w:hAnsi="Cambria Math" w:cs="Calibri"/>
                <w:lang w:val="hu-HU"/>
              </w:rPr>
              <w:t xml:space="preserve">tisztség gyakorlása során és azokhoz képest jutalmat képezhetnek. </w:t>
            </w:r>
          </w:p>
          <w:p w14:paraId="78A47FFF" w14:textId="77777777" w:rsidR="009A25B1" w:rsidRPr="008C37C5" w:rsidRDefault="009A25B1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Bizonyos protokolltevékenységek esetén, amikor megbízatásunk vagy tisztségünk gyakorlása során ajándékokat, meghívókat vagy udvariassági megnyilvánulásokat kapunk, a hatályos jogszabályok által előírt rendelkezés</w:t>
            </w:r>
            <w:r w:rsidR="008F5A18">
              <w:rPr>
                <w:rFonts w:ascii="Cambria Math" w:hAnsi="Cambria Math" w:cs="Calibri"/>
                <w:lang w:val="hu-HU"/>
              </w:rPr>
              <w:t>e</w:t>
            </w:r>
            <w:r w:rsidRPr="008C37C5">
              <w:rPr>
                <w:rFonts w:ascii="Cambria Math" w:hAnsi="Cambria Math" w:cs="Calibri"/>
                <w:lang w:val="hu-HU"/>
              </w:rPr>
              <w:t>knek megfelelően jelentjük be és mutatjuk be és azokat az intézmény vezetőségének a kézhezvételtől számított 30 napon belül.</w:t>
            </w:r>
          </w:p>
        </w:tc>
      </w:tr>
      <w:tr w:rsidR="00175876" w:rsidRPr="008C37C5" w14:paraId="0AF2F046" w14:textId="77777777" w:rsidTr="000F2C81">
        <w:tc>
          <w:tcPr>
            <w:tcW w:w="3046" w:type="dxa"/>
            <w:shd w:val="clear" w:color="auto" w:fill="auto"/>
          </w:tcPr>
          <w:p w14:paraId="0240843C" w14:textId="77777777" w:rsidR="00175876" w:rsidRPr="008C37C5" w:rsidRDefault="008C37C5" w:rsidP="008C37C5">
            <w:pPr>
              <w:pStyle w:val="ListParagraph"/>
              <w:tabs>
                <w:tab w:val="left" w:pos="1134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8. A megkülönböztetés tilalma</w:t>
            </w:r>
          </w:p>
        </w:tc>
        <w:tc>
          <w:tcPr>
            <w:tcW w:w="6999" w:type="dxa"/>
            <w:shd w:val="clear" w:color="auto" w:fill="auto"/>
          </w:tcPr>
          <w:p w14:paraId="001D9BE9" w14:textId="77777777" w:rsidR="00175876" w:rsidRPr="008C37C5" w:rsidRDefault="00F30A8E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Pártatlan magatartást tanúsítunk minden, tisztségü</w:t>
            </w:r>
            <w:r w:rsidR="008F5A18">
              <w:rPr>
                <w:rFonts w:ascii="Cambria Math" w:hAnsi="Cambria Math" w:cs="Calibri"/>
                <w:lang w:val="hu-HU"/>
              </w:rPr>
              <w:t>nk gyakorlása során közreműködő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munkatár</w:t>
            </w:r>
            <w:r w:rsidR="008F5A18">
              <w:rPr>
                <w:rFonts w:ascii="Cambria Math" w:hAnsi="Cambria Math" w:cs="Calibri"/>
                <w:lang w:val="hu-HU"/>
              </w:rPr>
              <w:t>s</w:t>
            </w:r>
            <w:r w:rsidRPr="008C37C5">
              <w:rPr>
                <w:rFonts w:ascii="Cambria Math" w:hAnsi="Cambria Math" w:cs="Calibri"/>
                <w:lang w:val="hu-HU"/>
              </w:rPr>
              <w:t>sal és személ</w:t>
            </w:r>
            <w:r w:rsidR="008F5A18">
              <w:rPr>
                <w:rFonts w:ascii="Cambria Math" w:hAnsi="Cambria Math" w:cs="Calibri"/>
                <w:lang w:val="hu-HU"/>
              </w:rPr>
              <w:t>l</w:t>
            </w:r>
            <w:r w:rsidRPr="008C37C5">
              <w:rPr>
                <w:rFonts w:ascii="Cambria Math" w:hAnsi="Cambria Math" w:cs="Calibri"/>
                <w:lang w:val="hu-HU"/>
              </w:rPr>
              <w:t>yel szemben, úgy nemzeti, mint nemzetközi szinten egyaránt, tiszteletben tartva minden egyén érdekeltségét és véleményét, függetlenül a fajtól, etnikumtól, életkortól, fogyatékosságtól, vallástól, kultúrától, nemtől, szexuális beállítottságtól, anyagi</w:t>
            </w:r>
            <w:r w:rsidR="008F5A18">
              <w:rPr>
                <w:rFonts w:ascii="Cambria Math" w:hAnsi="Cambria Math" w:cs="Calibri"/>
                <w:lang w:val="hu-HU"/>
              </w:rPr>
              <w:t>-és egészségü</w:t>
            </w:r>
            <w:r w:rsidRPr="008C37C5">
              <w:rPr>
                <w:rFonts w:ascii="Cambria Math" w:hAnsi="Cambria Math" w:cs="Calibri"/>
                <w:lang w:val="hu-HU"/>
              </w:rPr>
              <w:t>gyi állapottól, politikai meggyőződéstől vagy bármilyen más kritériumtól.</w:t>
            </w:r>
          </w:p>
        </w:tc>
      </w:tr>
      <w:tr w:rsidR="00175876" w:rsidRPr="008C37C5" w14:paraId="7B801468" w14:textId="77777777" w:rsidTr="000F2C81">
        <w:tc>
          <w:tcPr>
            <w:tcW w:w="3046" w:type="dxa"/>
            <w:shd w:val="clear" w:color="auto" w:fill="auto"/>
          </w:tcPr>
          <w:p w14:paraId="24F86180" w14:textId="77777777" w:rsidR="00175876" w:rsidRPr="008C37C5" w:rsidRDefault="008C37C5" w:rsidP="008C37C5">
            <w:pPr>
              <w:pStyle w:val="ListParagraph"/>
              <w:tabs>
                <w:tab w:val="left" w:pos="317"/>
              </w:tabs>
              <w:spacing w:line="276" w:lineRule="auto"/>
              <w:ind w:left="34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9. </w:t>
            </w:r>
            <w:r w:rsidR="00175876" w:rsidRPr="008C37C5">
              <w:rPr>
                <w:rFonts w:ascii="Cambria Math" w:hAnsi="Cambria Math" w:cs="Calibri"/>
                <w:b/>
                <w:i/>
                <w:lang w:val="hu-HU"/>
              </w:rPr>
              <w:t>Ob</w:t>
            </w:r>
            <w:r w:rsidR="00F30A8E" w:rsidRPr="008C37C5">
              <w:rPr>
                <w:rFonts w:ascii="Cambria Math" w:hAnsi="Cambria Math" w:cs="Calibri"/>
                <w:b/>
                <w:i/>
                <w:lang w:val="hu-HU"/>
              </w:rPr>
              <w:t>jektivitás az értékelésben</w:t>
            </w:r>
          </w:p>
        </w:tc>
        <w:tc>
          <w:tcPr>
            <w:tcW w:w="6999" w:type="dxa"/>
            <w:shd w:val="clear" w:color="auto" w:fill="auto"/>
          </w:tcPr>
          <w:p w14:paraId="67C13E4E" w14:textId="77777777" w:rsidR="00175876" w:rsidRPr="008C37C5" w:rsidRDefault="008F5A1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>Az intézmény</w:t>
            </w:r>
            <w:r w:rsidR="00994E7C" w:rsidRPr="008C37C5">
              <w:rPr>
                <w:rFonts w:ascii="Cambria Math" w:hAnsi="Cambria Math" w:cs="Calibri"/>
                <w:lang w:val="hu-HU"/>
              </w:rPr>
              <w:t xml:space="preserve"> vezetősége objektíven alkalmazza az alárendelt személyzet értékelésére vonatkozó jogi eljárásokat és rendelkezéseket, azokban az esetekben is, amikor </w:t>
            </w:r>
            <w:r w:rsidR="00AC6F59" w:rsidRPr="008C37C5">
              <w:rPr>
                <w:rFonts w:ascii="Cambria Math" w:hAnsi="Cambria Math" w:cs="Calibri"/>
                <w:lang w:val="hu-HU"/>
              </w:rPr>
              <w:t xml:space="preserve">a </w:t>
            </w:r>
            <w:r w:rsidR="00994E7C" w:rsidRPr="008C37C5">
              <w:rPr>
                <w:rFonts w:ascii="Cambria Math" w:hAnsi="Cambria Math" w:cs="Calibri"/>
                <w:lang w:val="hu-HU"/>
              </w:rPr>
              <w:t>tisztség</w:t>
            </w:r>
            <w:r>
              <w:rPr>
                <w:rFonts w:ascii="Cambria Math" w:hAnsi="Cambria Math" w:cs="Calibri"/>
                <w:lang w:val="hu-HU"/>
              </w:rPr>
              <w:t>eken belüli javaslatok</w:t>
            </w:r>
            <w:r w:rsidR="00AC6F59" w:rsidRPr="008C37C5">
              <w:rPr>
                <w:rFonts w:ascii="Cambria Math" w:hAnsi="Cambria Math" w:cs="Calibri"/>
                <w:lang w:val="hu-HU"/>
              </w:rPr>
              <w:t xml:space="preserve">ra, módosításokra, projektcsoportok vagy bizottságok kijelölésére, illetve az alárendelt személyzet anyagi vagy erkölcsi ösztönzésére kerül sor.  </w:t>
            </w:r>
          </w:p>
        </w:tc>
      </w:tr>
      <w:tr w:rsidR="00175876" w:rsidRPr="008C37C5" w14:paraId="009C3312" w14:textId="77777777" w:rsidTr="000F2C81">
        <w:tc>
          <w:tcPr>
            <w:tcW w:w="3046" w:type="dxa"/>
            <w:shd w:val="clear" w:color="auto" w:fill="auto"/>
          </w:tcPr>
          <w:p w14:paraId="7B9BC8AC" w14:textId="77777777" w:rsidR="00175876" w:rsidRPr="008C37C5" w:rsidRDefault="008C37C5" w:rsidP="008C37C5">
            <w:pPr>
              <w:pStyle w:val="ListParagraph"/>
              <w:tabs>
                <w:tab w:val="left" w:pos="317"/>
                <w:tab w:val="left" w:pos="459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10. </w:t>
            </w:r>
            <w:r w:rsidR="00D063D8" w:rsidRPr="008C37C5">
              <w:rPr>
                <w:rFonts w:ascii="Cambria Math" w:hAnsi="Cambria Math" w:cs="Calibri"/>
                <w:b/>
                <w:i/>
                <w:lang w:val="hu-HU"/>
              </w:rPr>
              <w:t>Titoktartás</w:t>
            </w:r>
          </w:p>
        </w:tc>
        <w:tc>
          <w:tcPr>
            <w:tcW w:w="6999" w:type="dxa"/>
            <w:shd w:val="clear" w:color="auto" w:fill="auto"/>
          </w:tcPr>
          <w:p w14:paraId="226E6818" w14:textId="77777777" w:rsidR="00175876" w:rsidRPr="008C37C5" w:rsidRDefault="00D063D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törvény értelmében kötelességünk megőrizni</w:t>
            </w:r>
            <w:r w:rsidR="008F5A18">
              <w:rPr>
                <w:rFonts w:ascii="Cambria Math" w:hAnsi="Cambria Math" w:cs="Calibri"/>
                <w:lang w:val="hu-HU"/>
              </w:rPr>
              <w:t xml:space="preserve"> a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tisztségünk gyakorlása során szerzett tények, információk vagy dokumentumok titkosságát, kivéve a közérdekű információkat. </w:t>
            </w:r>
          </w:p>
        </w:tc>
      </w:tr>
      <w:tr w:rsidR="00175876" w:rsidRPr="008C37C5" w14:paraId="1507CF9E" w14:textId="77777777" w:rsidTr="000F2C81">
        <w:tc>
          <w:tcPr>
            <w:tcW w:w="3046" w:type="dxa"/>
            <w:shd w:val="clear" w:color="auto" w:fill="auto"/>
          </w:tcPr>
          <w:p w14:paraId="035FDE8F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11. </w:t>
            </w:r>
            <w:r w:rsidR="00D063D8" w:rsidRPr="008C37C5">
              <w:rPr>
                <w:rFonts w:ascii="Cambria Math" w:hAnsi="Cambria Math" w:cs="Calibri"/>
                <w:b/>
                <w:i/>
                <w:lang w:val="hu-HU"/>
              </w:rPr>
              <w:t>Átláthatóság és a nyilvános információkhoz való szabad hozzáférés</w:t>
            </w:r>
          </w:p>
        </w:tc>
        <w:tc>
          <w:tcPr>
            <w:tcW w:w="6999" w:type="dxa"/>
            <w:shd w:val="clear" w:color="auto" w:fill="auto"/>
          </w:tcPr>
          <w:p w14:paraId="0FE9BD17" w14:textId="77777777" w:rsidR="00175876" w:rsidRPr="008C37C5" w:rsidRDefault="00D063D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</w:t>
            </w:r>
            <w:r w:rsidR="008F5A18">
              <w:rPr>
                <w:rFonts w:ascii="Cambria Math" w:hAnsi="Cambria Math" w:cs="Calibri"/>
                <w:lang w:val="hu-HU"/>
              </w:rPr>
              <w:t>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tevékenysége átlátható és nyilvános, kiváló kommunikációt biztosít a polgárokkal,</w:t>
            </w:r>
            <w:r w:rsidR="008F5A18">
              <w:rPr>
                <w:rFonts w:ascii="Cambria Math" w:hAnsi="Cambria Math" w:cs="Calibri"/>
                <w:lang w:val="hu-HU"/>
              </w:rPr>
              <w:t xml:space="preserve"> illetve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más intézmények</w:t>
            </w:r>
            <w:r w:rsidR="00D117BB" w:rsidRPr="008C37C5">
              <w:rPr>
                <w:rFonts w:ascii="Cambria Math" w:hAnsi="Cambria Math" w:cs="Calibri"/>
                <w:lang w:val="hu-HU"/>
              </w:rPr>
              <w:t>en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és szervezetek</w:t>
            </w:r>
            <w:r w:rsidR="00D117BB" w:rsidRPr="008C37C5">
              <w:rPr>
                <w:rFonts w:ascii="Cambria Math" w:hAnsi="Cambria Math" w:cs="Calibri"/>
                <w:lang w:val="hu-HU"/>
              </w:rPr>
              <w:t xml:space="preserve">en belül működő partnerekkel szemben. </w:t>
            </w:r>
          </w:p>
        </w:tc>
      </w:tr>
      <w:tr w:rsidR="00175876" w:rsidRPr="008C37C5" w14:paraId="4FCA9983" w14:textId="77777777" w:rsidTr="000F2C81">
        <w:tc>
          <w:tcPr>
            <w:tcW w:w="3046" w:type="dxa"/>
            <w:shd w:val="clear" w:color="auto" w:fill="auto"/>
          </w:tcPr>
          <w:p w14:paraId="67B493B4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12. </w:t>
            </w:r>
            <w:r w:rsidR="00175876"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</w:t>
            </w:r>
            <w:r w:rsidR="00D117BB" w:rsidRPr="008C37C5">
              <w:rPr>
                <w:rFonts w:ascii="Cambria Math" w:hAnsi="Cambria Math" w:cs="Calibri"/>
                <w:b/>
                <w:i/>
                <w:lang w:val="hu-HU"/>
              </w:rPr>
              <w:t>Az integritásra vonatkozó figyelmeztetés</w:t>
            </w:r>
          </w:p>
        </w:tc>
        <w:tc>
          <w:tcPr>
            <w:tcW w:w="6999" w:type="dxa"/>
            <w:shd w:val="clear" w:color="auto" w:fill="auto"/>
          </w:tcPr>
          <w:p w14:paraId="15935257" w14:textId="77777777" w:rsidR="00175876" w:rsidRPr="008C37C5" w:rsidRDefault="00D117BB" w:rsidP="008F5A18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Kötelesek vagyunk érte</w:t>
            </w:r>
            <w:r w:rsidR="008F5A18">
              <w:rPr>
                <w:rFonts w:ascii="Cambria Math" w:hAnsi="Cambria Math" w:cs="Calibri"/>
                <w:lang w:val="hu-HU"/>
              </w:rPr>
              <w:t>sítést adni az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alkalmazottja által feladatköreinek ellátása során elkövetetett bármilyen cselekményről, mely eltér a jogszabályoktól, eljárásoktól, a</w:t>
            </w:r>
            <w:r w:rsidR="008F5A18">
              <w:rPr>
                <w:rFonts w:ascii="Cambria Math" w:hAnsi="Cambria Math" w:cs="Calibri"/>
                <w:lang w:val="hu-HU"/>
              </w:rPr>
              <w:t>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belső politikájától és a törvényes rendelkezésektől. </w:t>
            </w:r>
          </w:p>
        </w:tc>
      </w:tr>
      <w:tr w:rsidR="00175876" w:rsidRPr="008C37C5" w14:paraId="1C4E58E5" w14:textId="77777777" w:rsidTr="000F2C81">
        <w:tc>
          <w:tcPr>
            <w:tcW w:w="3046" w:type="dxa"/>
            <w:shd w:val="clear" w:color="auto" w:fill="auto"/>
          </w:tcPr>
          <w:p w14:paraId="2A70227D" w14:textId="77777777" w:rsidR="00175876" w:rsidRPr="008C37C5" w:rsidRDefault="008C37C5" w:rsidP="008C37C5">
            <w:pPr>
              <w:pStyle w:val="ListParagraph"/>
              <w:tabs>
                <w:tab w:val="left" w:pos="1134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13. </w:t>
            </w:r>
            <w:r w:rsidR="00D117BB" w:rsidRPr="008C37C5">
              <w:rPr>
                <w:rFonts w:ascii="Cambria Math" w:hAnsi="Cambria Math" w:cs="Calibri"/>
                <w:b/>
                <w:i/>
                <w:lang w:val="hu-HU"/>
              </w:rPr>
              <w:t>Közbeszerzések</w:t>
            </w:r>
          </w:p>
        </w:tc>
        <w:tc>
          <w:tcPr>
            <w:tcW w:w="6999" w:type="dxa"/>
            <w:shd w:val="clear" w:color="auto" w:fill="auto"/>
          </w:tcPr>
          <w:p w14:paraId="2AE7DE78" w14:textId="77777777" w:rsidR="00175876" w:rsidRPr="008C37C5" w:rsidRDefault="00D117BB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Biztosítjuk a közbeszerzési eljárások átláthatóságát, tisztességességét, hatékonyságát és páratlanságát.</w:t>
            </w:r>
          </w:p>
        </w:tc>
      </w:tr>
      <w:tr w:rsidR="00175876" w:rsidRPr="008C37C5" w14:paraId="6DCCE836" w14:textId="77777777" w:rsidTr="000F2C81">
        <w:tc>
          <w:tcPr>
            <w:tcW w:w="3046" w:type="dxa"/>
            <w:shd w:val="clear" w:color="auto" w:fill="auto"/>
          </w:tcPr>
          <w:p w14:paraId="04B4FE9F" w14:textId="77777777" w:rsidR="00175876" w:rsidRPr="008C37C5" w:rsidRDefault="008C37C5" w:rsidP="008C37C5">
            <w:pPr>
              <w:pStyle w:val="ListParagraph"/>
              <w:tabs>
                <w:tab w:val="left" w:pos="1134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14. </w:t>
            </w:r>
            <w:r w:rsidR="00175876"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 </w:t>
            </w:r>
            <w:r w:rsidR="00D117BB" w:rsidRPr="008C37C5">
              <w:rPr>
                <w:rFonts w:ascii="Cambria Math" w:hAnsi="Cambria Math" w:cs="Calibri"/>
                <w:b/>
                <w:i/>
                <w:lang w:val="hu-HU"/>
              </w:rPr>
              <w:t>Politikai részvétel</w:t>
            </w:r>
          </w:p>
          <w:p w14:paraId="2E98BA6F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360"/>
              <w:rPr>
                <w:rFonts w:ascii="Cambria Math" w:hAnsi="Cambria Math" w:cs="Calibri"/>
                <w:b/>
                <w:i/>
                <w:lang w:val="hu-HU"/>
              </w:rPr>
            </w:pPr>
          </w:p>
        </w:tc>
        <w:tc>
          <w:tcPr>
            <w:tcW w:w="6999" w:type="dxa"/>
            <w:shd w:val="clear" w:color="auto" w:fill="auto"/>
          </w:tcPr>
          <w:p w14:paraId="3434EF4B" w14:textId="77777777" w:rsidR="00175876" w:rsidRPr="008C37C5" w:rsidRDefault="00D117BB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Nem folytatunk olyan politikai tevékenységeket, amelyek ellentmondanak a</w:t>
            </w:r>
            <w:r w:rsidR="00C5705A" w:rsidRPr="008C37C5">
              <w:rPr>
                <w:rFonts w:ascii="Cambria Math" w:hAnsi="Cambria Math" w:cs="Calibri"/>
                <w:lang w:val="hu-HU"/>
              </w:rPr>
              <w:t xml:space="preserve"> vonatkozó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törvényi rendelkezéseknek.</w:t>
            </w:r>
          </w:p>
        </w:tc>
      </w:tr>
      <w:tr w:rsidR="00175876" w:rsidRPr="008C37C5" w14:paraId="37C008D5" w14:textId="77777777" w:rsidTr="000F2C81">
        <w:tc>
          <w:tcPr>
            <w:tcW w:w="3046" w:type="dxa"/>
            <w:shd w:val="clear" w:color="auto" w:fill="auto"/>
          </w:tcPr>
          <w:p w14:paraId="68F542E5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34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15. </w:t>
            </w:r>
            <w:r w:rsidR="00C5705A" w:rsidRPr="008C37C5">
              <w:rPr>
                <w:rFonts w:ascii="Cambria Math" w:hAnsi="Cambria Math" w:cs="Calibri"/>
                <w:b/>
                <w:i/>
                <w:lang w:val="hu-HU"/>
              </w:rPr>
              <w:t>A nyilvános kép használata</w:t>
            </w:r>
          </w:p>
        </w:tc>
        <w:tc>
          <w:tcPr>
            <w:tcW w:w="6999" w:type="dxa"/>
            <w:shd w:val="clear" w:color="auto" w:fill="auto"/>
          </w:tcPr>
          <w:p w14:paraId="24143EF5" w14:textId="77777777" w:rsidR="00175876" w:rsidRPr="008C37C5" w:rsidRDefault="00C5705A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Nem használjuk a nevünket vagy saját nyilvános képünket választási kampány</w:t>
            </w:r>
            <w:r w:rsidR="008F5A18">
              <w:rPr>
                <w:rFonts w:ascii="Cambria Math" w:hAnsi="Cambria Math" w:cs="Calibri"/>
                <w:lang w:val="hu-HU"/>
              </w:rPr>
              <w:t>ra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vagy kereskedelmi célokra.</w:t>
            </w:r>
          </w:p>
        </w:tc>
      </w:tr>
      <w:tr w:rsidR="00175876" w:rsidRPr="008C37C5" w14:paraId="0A0FD7E8" w14:textId="77777777" w:rsidTr="000F2C81">
        <w:tc>
          <w:tcPr>
            <w:tcW w:w="3046" w:type="dxa"/>
            <w:shd w:val="clear" w:color="auto" w:fill="auto"/>
          </w:tcPr>
          <w:p w14:paraId="5D1FA653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34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16. </w:t>
            </w:r>
            <w:r w:rsidR="00C5705A" w:rsidRPr="008C37C5">
              <w:rPr>
                <w:rFonts w:ascii="Cambria Math" w:hAnsi="Cambria Math" w:cs="Calibri"/>
                <w:b/>
                <w:i/>
                <w:lang w:val="hu-HU"/>
              </w:rPr>
              <w:t>Az intézmény forrásainak megfelelő felhasználása</w:t>
            </w:r>
          </w:p>
        </w:tc>
        <w:tc>
          <w:tcPr>
            <w:tcW w:w="6999" w:type="dxa"/>
            <w:shd w:val="clear" w:color="auto" w:fill="auto"/>
          </w:tcPr>
          <w:p w14:paraId="223C9AEA" w14:textId="77777777" w:rsidR="00175876" w:rsidRPr="008C37C5" w:rsidRDefault="00C5705A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Tevékenységünk során védjük az intézmény tulajdonát és elkerüljük a károk keletkezését. </w:t>
            </w:r>
          </w:p>
        </w:tc>
      </w:tr>
      <w:tr w:rsidR="00175876" w:rsidRPr="008C37C5" w14:paraId="65D9AD48" w14:textId="77777777" w:rsidTr="000F2C81">
        <w:tc>
          <w:tcPr>
            <w:tcW w:w="3046" w:type="dxa"/>
            <w:shd w:val="clear" w:color="auto" w:fill="auto"/>
          </w:tcPr>
          <w:p w14:paraId="1CDA8B0B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17. </w:t>
            </w:r>
            <w:r w:rsidR="00C5705A" w:rsidRPr="008C37C5">
              <w:rPr>
                <w:rFonts w:ascii="Cambria Math" w:hAnsi="Cambria Math" w:cs="Calibri"/>
                <w:b/>
                <w:i/>
                <w:lang w:val="hu-HU"/>
              </w:rPr>
              <w:t>Pártatlanság</w:t>
            </w:r>
          </w:p>
        </w:tc>
        <w:tc>
          <w:tcPr>
            <w:tcW w:w="6999" w:type="dxa"/>
            <w:shd w:val="clear" w:color="auto" w:fill="auto"/>
          </w:tcPr>
          <w:p w14:paraId="0714DB79" w14:textId="77777777" w:rsidR="00175876" w:rsidRPr="008C37C5" w:rsidRDefault="00C5705A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Elköt</w:t>
            </w:r>
            <w:r w:rsidR="008F5A18">
              <w:rPr>
                <w:rFonts w:ascii="Cambria Math" w:hAnsi="Cambria Math" w:cs="Calibri"/>
                <w:lang w:val="hu-HU"/>
              </w:rPr>
              <w:t>elezzük magunkat, hogy biztosítj</w:t>
            </w:r>
            <w:r w:rsidRPr="008C37C5">
              <w:rPr>
                <w:rFonts w:ascii="Cambria Math" w:hAnsi="Cambria Math" w:cs="Calibri"/>
                <w:lang w:val="hu-HU"/>
              </w:rPr>
              <w:t>uk</w:t>
            </w:r>
            <w:r w:rsidR="00175876" w:rsidRPr="008C37C5">
              <w:rPr>
                <w:rFonts w:ascii="Cambria Math" w:hAnsi="Cambria Math" w:cs="Calibri"/>
                <w:lang w:val="hu-HU"/>
              </w:rPr>
              <w:t>:</w:t>
            </w:r>
          </w:p>
          <w:p w14:paraId="46346675" w14:textId="77777777" w:rsidR="00175876" w:rsidRPr="008C37C5" w:rsidRDefault="008F5A1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 xml:space="preserve">– </w:t>
            </w:r>
            <w:r w:rsidR="00C5705A" w:rsidRPr="008C37C5">
              <w:rPr>
                <w:rFonts w:ascii="Cambria Math" w:hAnsi="Cambria Math" w:cs="Calibri"/>
                <w:lang w:val="hu-HU"/>
              </w:rPr>
              <w:t xml:space="preserve">a pártatlanságot a személyzet kiválasztásában </w:t>
            </w:r>
            <w:r w:rsidR="00175876" w:rsidRPr="008C37C5">
              <w:rPr>
                <w:rFonts w:ascii="Cambria Math" w:hAnsi="Cambria Math" w:cs="Calibri"/>
                <w:lang w:val="hu-HU"/>
              </w:rPr>
              <w:t>(</w:t>
            </w:r>
            <w:r w:rsidR="00C5705A" w:rsidRPr="008C37C5">
              <w:rPr>
                <w:rFonts w:ascii="Cambria Math" w:hAnsi="Cambria Math" w:cs="Calibri"/>
                <w:lang w:val="hu-HU"/>
              </w:rPr>
              <w:t>a pote</w:t>
            </w:r>
            <w:r>
              <w:rPr>
                <w:rFonts w:ascii="Cambria Math" w:hAnsi="Cambria Math" w:cs="Calibri"/>
                <w:lang w:val="hu-HU"/>
              </w:rPr>
              <w:t>nciális munkavállalókkal kapcsolatosan</w:t>
            </w:r>
            <w:r w:rsidR="00175876" w:rsidRPr="008C37C5">
              <w:rPr>
                <w:rFonts w:ascii="Cambria Math" w:hAnsi="Cambria Math" w:cs="Calibri"/>
                <w:lang w:val="hu-HU"/>
              </w:rPr>
              <w:t>)</w:t>
            </w:r>
            <w:r>
              <w:rPr>
                <w:rFonts w:ascii="Cambria Math" w:hAnsi="Cambria Math" w:cs="Calibri"/>
                <w:lang w:val="hu-HU"/>
              </w:rPr>
              <w:t>;</w:t>
            </w:r>
          </w:p>
          <w:p w14:paraId="634B6481" w14:textId="77777777" w:rsidR="00175876" w:rsidRPr="008C37C5" w:rsidRDefault="008F5A18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>–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="00C5705A" w:rsidRPr="008C37C5">
              <w:rPr>
                <w:rFonts w:ascii="Cambria Math" w:hAnsi="Cambria Math" w:cs="Calibri"/>
                <w:lang w:val="hu-HU"/>
              </w:rPr>
              <w:t xml:space="preserve">a pártatlanságot a bérezés, </w:t>
            </w:r>
            <w:r>
              <w:rPr>
                <w:rFonts w:ascii="Cambria Math" w:hAnsi="Cambria Math" w:cs="Calibri"/>
                <w:lang w:val="hu-HU"/>
              </w:rPr>
              <w:t>jutalmazás és előmozdítás során</w:t>
            </w:r>
            <w:r w:rsidR="00175876" w:rsidRPr="008C37C5">
              <w:rPr>
                <w:rFonts w:ascii="Cambria Math" w:hAnsi="Cambria Math" w:cs="Calibri"/>
                <w:lang w:val="hu-HU"/>
              </w:rPr>
              <w:t xml:space="preserve"> (</w:t>
            </w:r>
            <w:r>
              <w:rPr>
                <w:rFonts w:ascii="Cambria Math" w:hAnsi="Cambria Math" w:cs="Calibri"/>
                <w:lang w:val="hu-HU"/>
              </w:rPr>
              <w:t>a munkavállalókkal kapcsolatosan</w:t>
            </w:r>
            <w:r w:rsidR="00175876" w:rsidRPr="008C37C5">
              <w:rPr>
                <w:rFonts w:ascii="Cambria Math" w:hAnsi="Cambria Math" w:cs="Calibri"/>
                <w:lang w:val="hu-HU"/>
              </w:rPr>
              <w:t>)</w:t>
            </w:r>
            <w:r>
              <w:rPr>
                <w:rFonts w:ascii="Cambria Math" w:hAnsi="Cambria Math" w:cs="Calibri"/>
                <w:lang w:val="hu-HU"/>
              </w:rPr>
              <w:t>;</w:t>
            </w:r>
            <w:r w:rsidR="00C5705A" w:rsidRPr="008C37C5">
              <w:rPr>
                <w:rFonts w:ascii="Cambria Math" w:hAnsi="Cambria Math" w:cs="Calibri"/>
                <w:lang w:val="hu-HU"/>
              </w:rPr>
              <w:t xml:space="preserve"> </w:t>
            </w:r>
          </w:p>
          <w:p w14:paraId="5E5B8613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- </w:t>
            </w:r>
            <w:r w:rsidR="00C5705A" w:rsidRPr="008C37C5">
              <w:rPr>
                <w:rFonts w:ascii="Cambria Math" w:hAnsi="Cambria Math" w:cs="Calibri"/>
                <w:lang w:val="hu-HU"/>
              </w:rPr>
              <w:t xml:space="preserve">a pártatlanságot a beszerzési folyamat és a szerződéskötés folyamatában </w:t>
            </w:r>
            <w:r w:rsidRPr="008C37C5">
              <w:rPr>
                <w:rFonts w:ascii="Cambria Math" w:hAnsi="Cambria Math" w:cs="Calibri"/>
                <w:lang w:val="hu-HU"/>
              </w:rPr>
              <w:t>(</w:t>
            </w:r>
            <w:r w:rsidR="008F5A18">
              <w:rPr>
                <w:rFonts w:ascii="Cambria Math" w:hAnsi="Cambria Math" w:cs="Calibri"/>
                <w:lang w:val="hu-HU"/>
              </w:rPr>
              <w:t>a szolgáltatókkal kapcsolatosan</w:t>
            </w:r>
            <w:r w:rsidRPr="008C37C5">
              <w:rPr>
                <w:rFonts w:ascii="Cambria Math" w:hAnsi="Cambria Math" w:cs="Calibri"/>
                <w:lang w:val="hu-HU"/>
              </w:rPr>
              <w:t>)</w:t>
            </w:r>
            <w:r w:rsidR="008F5A18">
              <w:rPr>
                <w:rFonts w:ascii="Cambria Math" w:hAnsi="Cambria Math" w:cs="Calibri"/>
                <w:lang w:val="hu-HU"/>
              </w:rPr>
              <w:t>;</w:t>
            </w:r>
          </w:p>
          <w:p w14:paraId="78335F3D" w14:textId="77777777" w:rsidR="00175876" w:rsidRPr="008C37C5" w:rsidRDefault="00175876" w:rsidP="008F5A18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- </w:t>
            </w:r>
            <w:r w:rsidR="00C5705A" w:rsidRPr="008C37C5">
              <w:rPr>
                <w:rFonts w:ascii="Cambria Math" w:hAnsi="Cambria Math" w:cs="Calibri"/>
                <w:lang w:val="hu-HU"/>
              </w:rPr>
              <w:t>a</w:t>
            </w:r>
            <w:r w:rsidR="00C5705A" w:rsidRPr="008C37C5">
              <w:rPr>
                <w:rFonts w:ascii="Cambria Math" w:hAnsi="Cambria Math"/>
                <w:lang w:val="hu-HU"/>
              </w:rPr>
              <w:t xml:space="preserve"> </w:t>
            </w:r>
            <w:r w:rsidR="00C5705A" w:rsidRPr="008C37C5">
              <w:rPr>
                <w:rFonts w:ascii="Cambria Math" w:hAnsi="Cambria Math" w:cs="Calibri"/>
                <w:lang w:val="hu-HU"/>
              </w:rPr>
              <w:t>pártatlanságot a közszolgáltatások</w:t>
            </w:r>
            <w:r w:rsidR="008F5A18">
              <w:rPr>
                <w:rFonts w:ascii="Cambria Math" w:hAnsi="Cambria Math" w:cs="Calibri"/>
                <w:lang w:val="hu-HU"/>
              </w:rPr>
              <w:t xml:space="preserve"> terén</w:t>
            </w:r>
            <w:r w:rsidR="00C5705A" w:rsidRPr="008C37C5">
              <w:rPr>
                <w:rFonts w:ascii="Cambria Math" w:hAnsi="Cambria Math" w:cs="Calibri"/>
                <w:lang w:val="hu-HU"/>
              </w:rPr>
              <w:t xml:space="preserve"> (a polgárokkal</w:t>
            </w:r>
            <w:r w:rsidR="008F5A18">
              <w:rPr>
                <w:rFonts w:ascii="Cambria Math" w:hAnsi="Cambria Math" w:cs="Calibri"/>
                <w:lang w:val="hu-HU"/>
              </w:rPr>
              <w:t xml:space="preserve"> kapcsolatosan</w:t>
            </w:r>
            <w:r w:rsidR="00C5705A" w:rsidRPr="008C37C5">
              <w:rPr>
                <w:rFonts w:ascii="Cambria Math" w:hAnsi="Cambria Math" w:cs="Calibri"/>
                <w:lang w:val="hu-HU"/>
              </w:rPr>
              <w:t>)</w:t>
            </w:r>
          </w:p>
        </w:tc>
      </w:tr>
      <w:tr w:rsidR="00175876" w:rsidRPr="008C37C5" w14:paraId="3DBD32EC" w14:textId="77777777" w:rsidTr="000F2C81">
        <w:tc>
          <w:tcPr>
            <w:tcW w:w="3046" w:type="dxa"/>
            <w:shd w:val="clear" w:color="auto" w:fill="auto"/>
          </w:tcPr>
          <w:p w14:paraId="6AD98263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lastRenderedPageBreak/>
              <w:t xml:space="preserve">18. </w:t>
            </w:r>
            <w:r w:rsidR="00175876" w:rsidRPr="008C37C5">
              <w:rPr>
                <w:rFonts w:ascii="Cambria Math" w:hAnsi="Cambria Math" w:cs="Calibri"/>
                <w:b/>
                <w:i/>
                <w:lang w:val="hu-HU"/>
              </w:rPr>
              <w:t>Ob</w:t>
            </w:r>
            <w:r w:rsidR="00494EF4" w:rsidRPr="008C37C5">
              <w:rPr>
                <w:rFonts w:ascii="Cambria Math" w:hAnsi="Cambria Math" w:cs="Calibri"/>
                <w:b/>
                <w:i/>
                <w:lang w:val="hu-HU"/>
              </w:rPr>
              <w:t>jektivitás</w:t>
            </w:r>
          </w:p>
        </w:tc>
        <w:tc>
          <w:tcPr>
            <w:tcW w:w="6999" w:type="dxa"/>
            <w:shd w:val="clear" w:color="auto" w:fill="auto"/>
          </w:tcPr>
          <w:p w14:paraId="356C0B00" w14:textId="77777777" w:rsidR="00175876" w:rsidRPr="008C37C5" w:rsidRDefault="00494EF4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Vállaljuk, </w:t>
            </w:r>
            <w:r w:rsidR="00434492" w:rsidRPr="008C37C5">
              <w:rPr>
                <w:rFonts w:ascii="Cambria Math" w:hAnsi="Cambria Math" w:cs="Calibri"/>
                <w:lang w:val="hu-HU"/>
              </w:rPr>
              <w:t>hogy az alternatív megoldásokat objektíven értékeljük</w:t>
            </w:r>
            <w:r w:rsidR="00145226" w:rsidRPr="008C37C5">
              <w:rPr>
                <w:rFonts w:ascii="Cambria Math" w:hAnsi="Cambria Math" w:cs="Calibri"/>
                <w:lang w:val="hu-HU"/>
              </w:rPr>
              <w:t xml:space="preserve"> és a közérdek számára a legkedvezőbbet alkalmazzuk. </w:t>
            </w:r>
          </w:p>
          <w:p w14:paraId="0CEEBC5F" w14:textId="77777777" w:rsidR="00175876" w:rsidRPr="008C37C5" w:rsidRDefault="0081498C" w:rsidP="008F5A18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A </w:t>
            </w:r>
            <w:r w:rsidR="00145226" w:rsidRPr="008C37C5">
              <w:rPr>
                <w:rFonts w:ascii="Cambria Math" w:hAnsi="Cambria Math" w:cs="Calibri"/>
                <w:lang w:val="hu-HU"/>
              </w:rPr>
              <w:t>köztisztviselők dön</w:t>
            </w:r>
            <w:r w:rsidR="008F5A18">
              <w:rPr>
                <w:rFonts w:ascii="Cambria Math" w:hAnsi="Cambria Math" w:cs="Calibri"/>
                <w:lang w:val="hu-HU"/>
              </w:rPr>
              <w:t>téshoz</w:t>
            </w:r>
            <w:r w:rsidR="00145226" w:rsidRPr="008C37C5">
              <w:rPr>
                <w:rFonts w:ascii="Cambria Math" w:hAnsi="Cambria Math" w:cs="Calibri"/>
                <w:lang w:val="hu-HU"/>
              </w:rPr>
              <w:t>a</w:t>
            </w:r>
            <w:r w:rsidR="008F5A18">
              <w:rPr>
                <w:rFonts w:ascii="Cambria Math" w:hAnsi="Cambria Math" w:cs="Calibri"/>
                <w:lang w:val="hu-HU"/>
              </w:rPr>
              <w:t>t</w:t>
            </w:r>
            <w:r w:rsidR="00145226" w:rsidRPr="008C37C5">
              <w:rPr>
                <w:rFonts w:ascii="Cambria Math" w:hAnsi="Cambria Math" w:cs="Calibri"/>
                <w:lang w:val="hu-HU"/>
              </w:rPr>
              <w:t>a</w:t>
            </w:r>
            <w:r w:rsidR="008F5A18">
              <w:rPr>
                <w:rFonts w:ascii="Cambria Math" w:hAnsi="Cambria Math" w:cs="Calibri"/>
                <w:lang w:val="hu-HU"/>
              </w:rPr>
              <w:t>l</w:t>
            </w:r>
            <w:r w:rsidR="00145226" w:rsidRPr="008C37C5">
              <w:rPr>
                <w:rFonts w:ascii="Cambria Math" w:hAnsi="Cambria Math" w:cs="Calibri"/>
                <w:lang w:val="hu-HU"/>
              </w:rPr>
              <w:t xml:space="preserve">i objektivitását és </w:t>
            </w:r>
            <w:r w:rsidRPr="008C37C5">
              <w:rPr>
                <w:rFonts w:ascii="Cambria Math" w:hAnsi="Cambria Math" w:cs="Calibri"/>
                <w:lang w:val="hu-HU"/>
              </w:rPr>
              <w:t xml:space="preserve">tagadhatatlan </w:t>
            </w:r>
            <w:r w:rsidR="00145226" w:rsidRPr="008C37C5">
              <w:rPr>
                <w:rFonts w:ascii="Cambria Math" w:hAnsi="Cambria Math" w:cs="Calibri"/>
                <w:lang w:val="hu-HU"/>
              </w:rPr>
              <w:t>jellegét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biztosító eljárások létrehozása az intézmény vezetésének egyik legfontosabb szempontja. </w:t>
            </w:r>
          </w:p>
        </w:tc>
      </w:tr>
      <w:tr w:rsidR="00175876" w:rsidRPr="008C37C5" w14:paraId="3F0F479A" w14:textId="77777777" w:rsidTr="000F2C81">
        <w:tc>
          <w:tcPr>
            <w:tcW w:w="3046" w:type="dxa"/>
            <w:shd w:val="clear" w:color="auto" w:fill="auto"/>
          </w:tcPr>
          <w:p w14:paraId="1E575A3C" w14:textId="77777777" w:rsidR="00175876" w:rsidRPr="008C37C5" w:rsidRDefault="008C37C5" w:rsidP="008C37C5">
            <w:pPr>
              <w:pStyle w:val="ListParagraph"/>
              <w:tabs>
                <w:tab w:val="left" w:pos="459"/>
              </w:tabs>
              <w:spacing w:line="276" w:lineRule="auto"/>
              <w:ind w:left="0"/>
              <w:contextualSpacing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 xml:space="preserve">19. </w:t>
            </w:r>
            <w:r w:rsidR="0081498C" w:rsidRPr="008C37C5">
              <w:rPr>
                <w:rFonts w:ascii="Cambria Math" w:hAnsi="Cambria Math" w:cs="Calibri"/>
                <w:b/>
                <w:i/>
                <w:lang w:val="hu-HU"/>
              </w:rPr>
              <w:t>Egyéni felelősség</w:t>
            </w:r>
          </w:p>
        </w:tc>
        <w:tc>
          <w:tcPr>
            <w:tcW w:w="6999" w:type="dxa"/>
            <w:shd w:val="clear" w:color="auto" w:fill="auto"/>
          </w:tcPr>
          <w:p w14:paraId="182D62C0" w14:textId="77777777" w:rsidR="00175876" w:rsidRPr="008C37C5" w:rsidRDefault="0081498C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Mindannyian felelősek vagyunk az </w:t>
            </w:r>
            <w:r w:rsidR="008F5A18">
              <w:rPr>
                <w:rFonts w:ascii="Cambria Math" w:hAnsi="Cambria Math" w:cs="Calibri"/>
                <w:b/>
                <w:lang w:val="hu-HU"/>
              </w:rPr>
              <w:t>etikai és feddhetetlenségi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 xml:space="preserve"> Kódexben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előírt szabályok ismeretéért és betartásáért. </w:t>
            </w:r>
          </w:p>
          <w:p w14:paraId="20322702" w14:textId="77777777" w:rsidR="00175876" w:rsidRPr="008C37C5" w:rsidRDefault="0081498C" w:rsidP="008F5A18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Kódex szabályainak megsértése</w:t>
            </w:r>
            <w:r w:rsidR="008F5A18">
              <w:rPr>
                <w:rFonts w:ascii="Cambria Math" w:hAnsi="Cambria Math" w:cs="Calibri"/>
                <w:lang w:val="hu-HU"/>
              </w:rPr>
              <w:t xml:space="preserve"> a vétkes személynek az intézmény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</w:t>
            </w:r>
            <w:r w:rsidRPr="008C37C5">
              <w:rPr>
                <w:rFonts w:ascii="Cambria Math" w:hAnsi="Cambria Math" w:cs="Calibri"/>
                <w:b/>
                <w:lang w:val="hu-HU"/>
              </w:rPr>
              <w:t>Belső szabályzatában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meghatározott feltételek </w:t>
            </w:r>
            <w:r w:rsidR="008F5A18">
              <w:rPr>
                <w:rFonts w:ascii="Cambria Math" w:hAnsi="Cambria Math" w:cs="Calibri"/>
                <w:lang w:val="hu-HU"/>
              </w:rPr>
              <w:t>alapján meghatározott</w:t>
            </w:r>
            <w:r w:rsidRPr="008C37C5">
              <w:rPr>
                <w:rFonts w:ascii="Cambria Math" w:hAnsi="Cambria Math" w:cs="Calibri"/>
                <w:lang w:val="hu-HU"/>
              </w:rPr>
              <w:t xml:space="preserve"> felelősségét vonhatja maga után. </w:t>
            </w:r>
          </w:p>
        </w:tc>
      </w:tr>
      <w:tr w:rsidR="00175876" w:rsidRPr="008C37C5" w14:paraId="66B75900" w14:textId="77777777" w:rsidTr="000F2C81">
        <w:tc>
          <w:tcPr>
            <w:tcW w:w="10045" w:type="dxa"/>
            <w:gridSpan w:val="2"/>
            <w:shd w:val="clear" w:color="auto" w:fill="auto"/>
          </w:tcPr>
          <w:p w14:paraId="483AAA8C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</w:p>
          <w:p w14:paraId="0DADA144" w14:textId="77777777" w:rsidR="00175876" w:rsidRPr="008C37C5" w:rsidRDefault="0081498C" w:rsidP="000F2C81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Végső rendelkezések</w:t>
            </w:r>
          </w:p>
          <w:p w14:paraId="59107077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</w:p>
        </w:tc>
      </w:tr>
      <w:tr w:rsidR="00175876" w:rsidRPr="008C37C5" w14:paraId="45A50581" w14:textId="77777777" w:rsidTr="000F2C81">
        <w:tc>
          <w:tcPr>
            <w:tcW w:w="3046" w:type="dxa"/>
            <w:shd w:val="clear" w:color="auto" w:fill="auto"/>
          </w:tcPr>
          <w:p w14:paraId="22DE31B0" w14:textId="77777777" w:rsidR="00175876" w:rsidRPr="008C37C5" w:rsidRDefault="00175876" w:rsidP="000F2C81">
            <w:pPr>
              <w:pStyle w:val="ListParagraph"/>
              <w:tabs>
                <w:tab w:val="left" w:pos="1134"/>
              </w:tabs>
              <w:ind w:left="0"/>
              <w:rPr>
                <w:rFonts w:ascii="Cambria Math" w:hAnsi="Cambria Math" w:cs="Calibri"/>
                <w:b/>
                <w:i/>
                <w:lang w:val="hu-HU"/>
              </w:rPr>
            </w:pPr>
          </w:p>
          <w:p w14:paraId="4124FADD" w14:textId="77777777" w:rsidR="00175876" w:rsidRPr="008C37C5" w:rsidRDefault="0081498C" w:rsidP="000F2C81">
            <w:pPr>
              <w:pStyle w:val="ListParagraph"/>
              <w:tabs>
                <w:tab w:val="left" w:pos="1134"/>
              </w:tabs>
              <w:ind w:left="0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A Kódex terjedelme</w:t>
            </w:r>
          </w:p>
        </w:tc>
        <w:tc>
          <w:tcPr>
            <w:tcW w:w="6999" w:type="dxa"/>
            <w:shd w:val="clear" w:color="auto" w:fill="auto"/>
          </w:tcPr>
          <w:p w14:paraId="42B8C687" w14:textId="77777777" w:rsidR="00175876" w:rsidRPr="008C37C5" w:rsidRDefault="0081498C" w:rsidP="008F5A18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 xml:space="preserve">A Kódex </w:t>
            </w:r>
            <w:r w:rsidR="00E91A25" w:rsidRPr="008C37C5">
              <w:rPr>
                <w:rFonts w:ascii="Cambria Math" w:hAnsi="Cambria Math" w:cs="Calibri"/>
                <w:lang w:val="hu-HU"/>
              </w:rPr>
              <w:t>ren</w:t>
            </w:r>
            <w:r w:rsidR="008F5A18">
              <w:rPr>
                <w:rFonts w:ascii="Cambria Math" w:hAnsi="Cambria Math" w:cs="Calibri"/>
                <w:lang w:val="hu-HU"/>
              </w:rPr>
              <w:t>delkezéseiről, annak az intézmény</w:t>
            </w:r>
            <w:r w:rsidR="00E91A25" w:rsidRPr="008C37C5">
              <w:rPr>
                <w:rFonts w:ascii="Cambria Math" w:hAnsi="Cambria Math" w:cs="Calibri"/>
                <w:lang w:val="hu-HU"/>
              </w:rPr>
              <w:t xml:space="preserve"> hivatalos honlapján, az intézmény által használt internetes szolgáltatáson, a szolgálati e</w:t>
            </w:r>
            <w:r w:rsidR="008F5A18">
              <w:rPr>
                <w:rFonts w:ascii="Cambria Math" w:hAnsi="Cambria Math" w:cs="Calibri"/>
                <w:lang w:val="hu-HU"/>
              </w:rPr>
              <w:t>-mailen és az intézmény hirdető</w:t>
            </w:r>
            <w:r w:rsidR="00E91A25" w:rsidRPr="008C37C5">
              <w:rPr>
                <w:rFonts w:ascii="Cambria Math" w:hAnsi="Cambria Math" w:cs="Calibri"/>
                <w:lang w:val="hu-HU"/>
              </w:rPr>
              <w:t xml:space="preserve">tábláján történő közzététele révén a teljes személyzet értesült.    </w:t>
            </w:r>
          </w:p>
        </w:tc>
      </w:tr>
      <w:tr w:rsidR="00175876" w:rsidRPr="008C37C5" w14:paraId="085BD11D" w14:textId="77777777" w:rsidTr="000F2C81">
        <w:tc>
          <w:tcPr>
            <w:tcW w:w="3046" w:type="dxa"/>
            <w:shd w:val="clear" w:color="auto" w:fill="auto"/>
          </w:tcPr>
          <w:p w14:paraId="66D1053F" w14:textId="77777777" w:rsidR="00175876" w:rsidRPr="008C37C5" w:rsidRDefault="00E91A25" w:rsidP="000F2C81">
            <w:pPr>
              <w:pStyle w:val="ListParagraph"/>
              <w:tabs>
                <w:tab w:val="left" w:pos="1134"/>
              </w:tabs>
              <w:ind w:left="0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Tanácsadás, támogatás és az etikai követelmények betartásának ellenőrzése</w:t>
            </w:r>
          </w:p>
        </w:tc>
        <w:tc>
          <w:tcPr>
            <w:tcW w:w="6999" w:type="dxa"/>
            <w:shd w:val="clear" w:color="auto" w:fill="auto"/>
          </w:tcPr>
          <w:p w14:paraId="7BC3247D" w14:textId="77777777" w:rsidR="00175876" w:rsidRPr="008C37C5" w:rsidRDefault="00B645D8" w:rsidP="008F5A18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>
              <w:rPr>
                <w:rFonts w:ascii="Cambria Math" w:hAnsi="Cambria Math" w:cs="Calibri"/>
                <w:lang w:val="hu-HU"/>
              </w:rPr>
              <w:t>E</w:t>
            </w:r>
            <w:r w:rsidR="008F5A18">
              <w:rPr>
                <w:rFonts w:ascii="Cambria Math" w:hAnsi="Cambria Math" w:cs="Calibri"/>
                <w:lang w:val="hu-HU"/>
              </w:rPr>
              <w:t>tikai tanácsadásért és ú</w:t>
            </w:r>
            <w:r w:rsidR="00E91A25" w:rsidRPr="008C37C5">
              <w:rPr>
                <w:rFonts w:ascii="Cambria Math" w:hAnsi="Cambria Math" w:cs="Calibri"/>
                <w:lang w:val="hu-HU"/>
              </w:rPr>
              <w:t>tmutatás</w:t>
            </w:r>
            <w:r w:rsidR="008F5A18">
              <w:rPr>
                <w:rFonts w:ascii="Cambria Math" w:hAnsi="Cambria Math" w:cs="Calibri"/>
                <w:lang w:val="hu-HU"/>
              </w:rPr>
              <w:t xml:space="preserve">ért, </w:t>
            </w:r>
            <w:r w:rsidR="00E91A25" w:rsidRPr="008C37C5">
              <w:rPr>
                <w:rFonts w:ascii="Cambria Math" w:hAnsi="Cambria Math" w:cs="Calibri"/>
                <w:lang w:val="hu-HU"/>
              </w:rPr>
              <w:t>illetve a</w:t>
            </w:r>
            <w:r>
              <w:rPr>
                <w:rFonts w:ascii="Cambria Math" w:hAnsi="Cambria Math" w:cs="Calibri"/>
                <w:lang w:val="hu-HU"/>
              </w:rPr>
              <w:t xml:space="preserve"> felmerült</w:t>
            </w:r>
            <w:r w:rsidR="008F5A18">
              <w:rPr>
                <w:rFonts w:ascii="Cambria Math" w:hAnsi="Cambria Math" w:cs="Calibri"/>
                <w:lang w:val="hu-HU"/>
              </w:rPr>
              <w:t xml:space="preserve"> etikai kérdések kapcsán </w:t>
            </w:r>
            <w:r w:rsidR="00E91A25" w:rsidRPr="008C37C5">
              <w:rPr>
                <w:rFonts w:ascii="Cambria Math" w:hAnsi="Cambria Math" w:cs="Calibri"/>
                <w:lang w:val="hu-HU"/>
              </w:rPr>
              <w:t>mindannyian</w:t>
            </w:r>
            <w:r>
              <w:rPr>
                <w:rFonts w:ascii="Cambria Math" w:hAnsi="Cambria Math" w:cs="Calibri"/>
                <w:lang w:val="hu-HU"/>
              </w:rPr>
              <w:t xml:space="preserve"> bizalommal</w:t>
            </w:r>
            <w:r w:rsidR="00E91A25" w:rsidRPr="008C37C5">
              <w:rPr>
                <w:rFonts w:ascii="Cambria Math" w:hAnsi="Cambria Math" w:cs="Calibri"/>
                <w:lang w:val="hu-HU"/>
              </w:rPr>
              <w:t xml:space="preserve"> fordulhat</w:t>
            </w:r>
            <w:r w:rsidR="003B7FBD" w:rsidRPr="008C37C5">
              <w:rPr>
                <w:rFonts w:ascii="Cambria Math" w:hAnsi="Cambria Math" w:cs="Calibri"/>
                <w:lang w:val="hu-HU"/>
              </w:rPr>
              <w:t>unk</w:t>
            </w:r>
            <w:r w:rsidR="00E91A25" w:rsidRPr="008C37C5">
              <w:rPr>
                <w:rFonts w:ascii="Cambria Math" w:hAnsi="Cambria Math" w:cs="Calibri"/>
                <w:lang w:val="hu-HU"/>
              </w:rPr>
              <w:t xml:space="preserve"> a</w:t>
            </w:r>
            <w:r w:rsidR="003B7FBD" w:rsidRPr="008C37C5">
              <w:rPr>
                <w:rFonts w:ascii="Cambria Math" w:hAnsi="Cambria Math" w:cs="Calibri"/>
                <w:lang w:val="hu-HU"/>
              </w:rPr>
              <w:t xml:space="preserve">z intézmény szintjén kijelölt etikai tanácsadóhoz. </w:t>
            </w:r>
          </w:p>
        </w:tc>
      </w:tr>
      <w:tr w:rsidR="00175876" w:rsidRPr="008C37C5" w14:paraId="64CE9F9C" w14:textId="77777777" w:rsidTr="000F2C81">
        <w:tc>
          <w:tcPr>
            <w:tcW w:w="3046" w:type="dxa"/>
            <w:shd w:val="clear" w:color="auto" w:fill="auto"/>
          </w:tcPr>
          <w:p w14:paraId="45720932" w14:textId="77777777" w:rsidR="00175876" w:rsidRPr="008C37C5" w:rsidRDefault="003B7FBD" w:rsidP="000F2C81">
            <w:pPr>
              <w:pStyle w:val="ListParagraph"/>
              <w:tabs>
                <w:tab w:val="left" w:pos="1134"/>
              </w:tabs>
              <w:ind w:left="0"/>
              <w:rPr>
                <w:rFonts w:ascii="Cambria Math" w:hAnsi="Cambria Math" w:cs="Calibri"/>
                <w:b/>
                <w:i/>
                <w:lang w:val="hu-HU"/>
              </w:rPr>
            </w:pPr>
            <w:r w:rsidRPr="008C37C5">
              <w:rPr>
                <w:rFonts w:ascii="Cambria Math" w:hAnsi="Cambria Math" w:cs="Calibri"/>
                <w:b/>
                <w:i/>
                <w:lang w:val="hu-HU"/>
              </w:rPr>
              <w:t>Ellenőrzések</w:t>
            </w:r>
          </w:p>
        </w:tc>
        <w:tc>
          <w:tcPr>
            <w:tcW w:w="6999" w:type="dxa"/>
            <w:shd w:val="clear" w:color="auto" w:fill="auto"/>
          </w:tcPr>
          <w:p w14:paraId="42D79DD4" w14:textId="77777777" w:rsidR="00175876" w:rsidRPr="008C37C5" w:rsidRDefault="009C2CF4" w:rsidP="000F2C81">
            <w:pPr>
              <w:pStyle w:val="ListParagraph"/>
              <w:tabs>
                <w:tab w:val="left" w:pos="1134"/>
              </w:tabs>
              <w:ind w:left="0"/>
              <w:jc w:val="both"/>
              <w:rPr>
                <w:rFonts w:ascii="Cambria Math" w:hAnsi="Cambria Math" w:cs="Calibri"/>
                <w:lang w:val="hu-HU"/>
              </w:rPr>
            </w:pPr>
            <w:r w:rsidRPr="008C37C5">
              <w:rPr>
                <w:rFonts w:ascii="Cambria Math" w:hAnsi="Cambria Math" w:cs="Calibri"/>
                <w:lang w:val="hu-HU"/>
              </w:rPr>
              <w:t>A Kódex minden olyan esetben módo</w:t>
            </w:r>
            <w:r w:rsidR="008C37C5" w:rsidRPr="008C37C5">
              <w:rPr>
                <w:rFonts w:ascii="Cambria Math" w:hAnsi="Cambria Math" w:cs="Calibri"/>
                <w:lang w:val="hu-HU"/>
              </w:rPr>
              <w:t>s</w:t>
            </w:r>
            <w:r w:rsidRPr="008C37C5">
              <w:rPr>
                <w:rFonts w:ascii="Cambria Math" w:hAnsi="Cambria Math" w:cs="Calibri"/>
                <w:lang w:val="hu-HU"/>
              </w:rPr>
              <w:t>ítható, amikor a referencia-jogszabályokban</w:t>
            </w:r>
            <w:r w:rsidR="008F5A18">
              <w:rPr>
                <w:rFonts w:ascii="Cambria Math" w:hAnsi="Cambria Math" w:cs="Calibri"/>
                <w:lang w:val="hu-HU"/>
              </w:rPr>
              <w:t xml:space="preserve"> módosítások keletkeznek</w:t>
            </w:r>
            <w:r w:rsidRPr="008C37C5">
              <w:rPr>
                <w:rFonts w:ascii="Cambria Math" w:hAnsi="Cambria Math" w:cs="Calibri"/>
                <w:lang w:val="hu-HU"/>
              </w:rPr>
              <w:t xml:space="preserve">. </w:t>
            </w:r>
          </w:p>
        </w:tc>
      </w:tr>
    </w:tbl>
    <w:p w14:paraId="65CE1C74" w14:textId="77777777" w:rsidR="00175876" w:rsidRPr="008C37C5" w:rsidRDefault="00175876" w:rsidP="00175876">
      <w:pPr>
        <w:tabs>
          <w:tab w:val="left" w:pos="142"/>
        </w:tabs>
        <w:ind w:left="142"/>
        <w:jc w:val="both"/>
        <w:rPr>
          <w:rFonts w:ascii="Cambria Math" w:hAnsi="Cambria Math" w:cs="Calibri"/>
          <w:lang w:val="hu-HU"/>
        </w:rPr>
      </w:pPr>
    </w:p>
    <w:p w14:paraId="2F2686DA" w14:textId="77777777" w:rsidR="00175876" w:rsidRPr="008C37C5" w:rsidRDefault="00175876" w:rsidP="00175876">
      <w:pPr>
        <w:jc w:val="center"/>
        <w:rPr>
          <w:rFonts w:ascii="Cambria Math" w:hAnsi="Cambria Math" w:cs="Calibri"/>
          <w:lang w:val="hu-HU"/>
        </w:rPr>
      </w:pPr>
    </w:p>
    <w:p w14:paraId="74102492" w14:textId="77777777" w:rsidR="00175876" w:rsidRPr="008C37C5" w:rsidRDefault="00175876" w:rsidP="00175876">
      <w:pPr>
        <w:jc w:val="center"/>
        <w:rPr>
          <w:rFonts w:ascii="Cambria Math" w:hAnsi="Cambria Math" w:cs="Calibri"/>
          <w:lang w:val="hu-HU"/>
        </w:rPr>
      </w:pPr>
    </w:p>
    <w:p w14:paraId="2A57EAE7" w14:textId="77777777" w:rsidR="002C07C0" w:rsidRPr="008C37C5" w:rsidRDefault="002C07C0" w:rsidP="002C07C0">
      <w:pPr>
        <w:ind w:left="567"/>
        <w:rPr>
          <w:rFonts w:ascii="Cambria Math" w:hAnsi="Cambria Math"/>
          <w:b/>
          <w:color w:val="FF0066"/>
          <w:lang w:val="hu-HU"/>
        </w:rPr>
      </w:pPr>
    </w:p>
    <w:p w14:paraId="09DB6F1F" w14:textId="77777777" w:rsidR="002C07C0" w:rsidRPr="008C37C5" w:rsidRDefault="002C07C0" w:rsidP="002C07C0">
      <w:pPr>
        <w:ind w:left="567"/>
        <w:rPr>
          <w:rFonts w:ascii="Cambria Math" w:hAnsi="Cambria Math"/>
          <w:b/>
          <w:color w:val="FF0066"/>
          <w:lang w:val="hu-HU"/>
        </w:rPr>
      </w:pPr>
    </w:p>
    <w:p w14:paraId="4242AB83" w14:textId="77777777" w:rsidR="002C07C0" w:rsidRPr="008C37C5" w:rsidRDefault="002C07C0" w:rsidP="002C07C0">
      <w:pPr>
        <w:rPr>
          <w:rFonts w:ascii="Cambria Math" w:hAnsi="Cambria Math"/>
          <w:lang w:val="hu-HU"/>
        </w:rPr>
      </w:pPr>
    </w:p>
    <w:p w14:paraId="12BAA3B9" w14:textId="77777777" w:rsidR="005B4B36" w:rsidRPr="008C37C5" w:rsidRDefault="005B4B36" w:rsidP="00F83BB6">
      <w:pPr>
        <w:ind w:left="360"/>
        <w:rPr>
          <w:rFonts w:ascii="Cambria Math" w:hAnsi="Cambria Math"/>
          <w:b/>
          <w:color w:val="0000FF"/>
          <w:lang w:val="hu-HU"/>
        </w:rPr>
      </w:pPr>
    </w:p>
    <w:sectPr w:rsidR="005B4B36" w:rsidRPr="008C37C5" w:rsidSect="002C07C0">
      <w:footerReference w:type="even" r:id="rId8"/>
      <w:footerReference w:type="default" r:id="rId9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89025" w14:textId="77777777" w:rsidR="00A70383" w:rsidRDefault="00A70383">
      <w:r>
        <w:separator/>
      </w:r>
    </w:p>
  </w:endnote>
  <w:endnote w:type="continuationSeparator" w:id="0">
    <w:p w14:paraId="76F00288" w14:textId="77777777" w:rsidR="00A70383" w:rsidRDefault="00A70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228DD" w14:textId="77777777" w:rsidR="0081498C" w:rsidRDefault="0081498C" w:rsidP="001972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14169269" w14:textId="77777777" w:rsidR="0081498C" w:rsidRDefault="0081498C" w:rsidP="001972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69332" w14:textId="77777777" w:rsidR="0081498C" w:rsidRPr="000C70AD" w:rsidRDefault="0081498C" w:rsidP="0019724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84DB0" w14:textId="77777777" w:rsidR="00A70383" w:rsidRDefault="00A70383">
      <w:r>
        <w:separator/>
      </w:r>
    </w:p>
  </w:footnote>
  <w:footnote w:type="continuationSeparator" w:id="0">
    <w:p w14:paraId="0976F643" w14:textId="77777777" w:rsidR="00A70383" w:rsidRDefault="00A70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340EC"/>
    <w:multiLevelType w:val="hybridMultilevel"/>
    <w:tmpl w:val="B236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4656A"/>
    <w:multiLevelType w:val="hybridMultilevel"/>
    <w:tmpl w:val="080031FE"/>
    <w:lvl w:ilvl="0" w:tplc="289A251C">
      <w:start w:val="6"/>
      <w:numFmt w:val="bullet"/>
      <w:lvlText w:val="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FF"/>
        <w:sz w:val="28"/>
      </w:rPr>
    </w:lvl>
    <w:lvl w:ilvl="1" w:tplc="5C4C62F0">
      <w:start w:val="1"/>
      <w:numFmt w:val="bullet"/>
      <w:lvlText w:val="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color w:val="0000FF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08C8"/>
    <w:multiLevelType w:val="hybridMultilevel"/>
    <w:tmpl w:val="F99EB516"/>
    <w:lvl w:ilvl="0" w:tplc="57C6D9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FF00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7717D"/>
    <w:multiLevelType w:val="hybridMultilevel"/>
    <w:tmpl w:val="CF5ECB36"/>
    <w:lvl w:ilvl="0" w:tplc="6054034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FF87F74"/>
    <w:multiLevelType w:val="hybridMultilevel"/>
    <w:tmpl w:val="B664C4D2"/>
    <w:lvl w:ilvl="0" w:tplc="BE9CDA5C">
      <w:start w:val="6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eastAsia="Franklin Gothic Medium" w:hAnsi="Symbol" w:cs="Franklin Gothic Medium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2CC7532"/>
    <w:multiLevelType w:val="hybridMultilevel"/>
    <w:tmpl w:val="A91E91AA"/>
    <w:lvl w:ilvl="0" w:tplc="BE9CDA5C">
      <w:start w:val="6"/>
      <w:numFmt w:val="bullet"/>
      <w:lvlText w:val=""/>
      <w:lvlJc w:val="left"/>
      <w:pPr>
        <w:tabs>
          <w:tab w:val="num" w:pos="794"/>
        </w:tabs>
        <w:ind w:left="794" w:hanging="284"/>
      </w:pPr>
      <w:rPr>
        <w:rFonts w:ascii="Symbol" w:eastAsia="Franklin Gothic Medium" w:hAnsi="Symbol" w:cs="Franklin Gothic Medium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CDF6C76"/>
    <w:multiLevelType w:val="hybridMultilevel"/>
    <w:tmpl w:val="99AE53EA"/>
    <w:lvl w:ilvl="0" w:tplc="777AFCE6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547CA"/>
    <w:multiLevelType w:val="hybridMultilevel"/>
    <w:tmpl w:val="952E9860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06FE8"/>
    <w:multiLevelType w:val="hybridMultilevel"/>
    <w:tmpl w:val="DD14EE0A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75419"/>
    <w:multiLevelType w:val="hybridMultilevel"/>
    <w:tmpl w:val="F80EF09E"/>
    <w:lvl w:ilvl="0" w:tplc="38626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9401D6"/>
    <w:multiLevelType w:val="hybridMultilevel"/>
    <w:tmpl w:val="16E6D18E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111B8"/>
    <w:multiLevelType w:val="hybridMultilevel"/>
    <w:tmpl w:val="893432DE"/>
    <w:lvl w:ilvl="0" w:tplc="E34A192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612FE2"/>
    <w:multiLevelType w:val="hybridMultilevel"/>
    <w:tmpl w:val="809C703E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E3FE1"/>
    <w:multiLevelType w:val="hybridMultilevel"/>
    <w:tmpl w:val="92949A24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32362"/>
    <w:multiLevelType w:val="hybridMultilevel"/>
    <w:tmpl w:val="88A48A48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21D12"/>
    <w:multiLevelType w:val="hybridMultilevel"/>
    <w:tmpl w:val="FA9E177C"/>
    <w:lvl w:ilvl="0" w:tplc="725CD0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14" w:hanging="360"/>
      </w:pPr>
    </w:lvl>
    <w:lvl w:ilvl="2" w:tplc="0418001B" w:tentative="1">
      <w:start w:val="1"/>
      <w:numFmt w:val="lowerRoman"/>
      <w:lvlText w:val="%3."/>
      <w:lvlJc w:val="right"/>
      <w:pPr>
        <w:ind w:left="1834" w:hanging="180"/>
      </w:pPr>
    </w:lvl>
    <w:lvl w:ilvl="3" w:tplc="0418000F" w:tentative="1">
      <w:start w:val="1"/>
      <w:numFmt w:val="decimal"/>
      <w:lvlText w:val="%4."/>
      <w:lvlJc w:val="left"/>
      <w:pPr>
        <w:ind w:left="2554" w:hanging="360"/>
      </w:pPr>
    </w:lvl>
    <w:lvl w:ilvl="4" w:tplc="04180019" w:tentative="1">
      <w:start w:val="1"/>
      <w:numFmt w:val="lowerLetter"/>
      <w:lvlText w:val="%5."/>
      <w:lvlJc w:val="left"/>
      <w:pPr>
        <w:ind w:left="3274" w:hanging="360"/>
      </w:pPr>
    </w:lvl>
    <w:lvl w:ilvl="5" w:tplc="0418001B" w:tentative="1">
      <w:start w:val="1"/>
      <w:numFmt w:val="lowerRoman"/>
      <w:lvlText w:val="%6."/>
      <w:lvlJc w:val="right"/>
      <w:pPr>
        <w:ind w:left="3994" w:hanging="180"/>
      </w:pPr>
    </w:lvl>
    <w:lvl w:ilvl="6" w:tplc="0418000F" w:tentative="1">
      <w:start w:val="1"/>
      <w:numFmt w:val="decimal"/>
      <w:lvlText w:val="%7."/>
      <w:lvlJc w:val="left"/>
      <w:pPr>
        <w:ind w:left="4714" w:hanging="360"/>
      </w:pPr>
    </w:lvl>
    <w:lvl w:ilvl="7" w:tplc="04180019" w:tentative="1">
      <w:start w:val="1"/>
      <w:numFmt w:val="lowerLetter"/>
      <w:lvlText w:val="%8."/>
      <w:lvlJc w:val="left"/>
      <w:pPr>
        <w:ind w:left="5434" w:hanging="360"/>
      </w:pPr>
    </w:lvl>
    <w:lvl w:ilvl="8" w:tplc="0418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6C820D71"/>
    <w:multiLevelType w:val="hybridMultilevel"/>
    <w:tmpl w:val="CFE40956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E43AA2"/>
    <w:multiLevelType w:val="hybridMultilevel"/>
    <w:tmpl w:val="0BD2D84C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3716A"/>
    <w:multiLevelType w:val="hybridMultilevel"/>
    <w:tmpl w:val="9B92B5F6"/>
    <w:lvl w:ilvl="0" w:tplc="105AC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FE7063"/>
    <w:multiLevelType w:val="hybridMultilevel"/>
    <w:tmpl w:val="C606787C"/>
    <w:lvl w:ilvl="0" w:tplc="289A251C">
      <w:start w:val="6"/>
      <w:numFmt w:val="bullet"/>
      <w:lvlText w:val="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FF"/>
        <w:sz w:val="28"/>
      </w:rPr>
    </w:lvl>
    <w:lvl w:ilvl="1" w:tplc="FFD2BEC8">
      <w:start w:val="1"/>
      <w:numFmt w:val="bullet"/>
      <w:lvlText w:val="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0000FF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59034">
    <w:abstractNumId w:val="3"/>
  </w:num>
  <w:num w:numId="2" w16cid:durableId="7222114">
    <w:abstractNumId w:val="4"/>
  </w:num>
  <w:num w:numId="3" w16cid:durableId="107089702">
    <w:abstractNumId w:val="5"/>
  </w:num>
  <w:num w:numId="4" w16cid:durableId="1270702536">
    <w:abstractNumId w:val="1"/>
  </w:num>
  <w:num w:numId="5" w16cid:durableId="129978873">
    <w:abstractNumId w:val="19"/>
  </w:num>
  <w:num w:numId="6" w16cid:durableId="77407691">
    <w:abstractNumId w:val="8"/>
  </w:num>
  <w:num w:numId="7" w16cid:durableId="388840700">
    <w:abstractNumId w:val="14"/>
  </w:num>
  <w:num w:numId="8" w16cid:durableId="1474786320">
    <w:abstractNumId w:val="17"/>
  </w:num>
  <w:num w:numId="9" w16cid:durableId="1712537931">
    <w:abstractNumId w:val="13"/>
  </w:num>
  <w:num w:numId="10" w16cid:durableId="703556837">
    <w:abstractNumId w:val="10"/>
  </w:num>
  <w:num w:numId="11" w16cid:durableId="1762872818">
    <w:abstractNumId w:val="16"/>
  </w:num>
  <w:num w:numId="12" w16cid:durableId="1964459526">
    <w:abstractNumId w:val="7"/>
  </w:num>
  <w:num w:numId="13" w16cid:durableId="178469362">
    <w:abstractNumId w:val="12"/>
  </w:num>
  <w:num w:numId="14" w16cid:durableId="704519631">
    <w:abstractNumId w:val="18"/>
  </w:num>
  <w:num w:numId="15" w16cid:durableId="1411851306">
    <w:abstractNumId w:val="9"/>
  </w:num>
  <w:num w:numId="16" w16cid:durableId="376972469">
    <w:abstractNumId w:val="0"/>
  </w:num>
  <w:num w:numId="17" w16cid:durableId="1766072544">
    <w:abstractNumId w:val="6"/>
  </w:num>
  <w:num w:numId="18" w16cid:durableId="1800568764">
    <w:abstractNumId w:val="11"/>
  </w:num>
  <w:num w:numId="19" w16cid:durableId="293875278">
    <w:abstractNumId w:val="15"/>
  </w:num>
  <w:num w:numId="20" w16cid:durableId="792138391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79"/>
    <w:rsid w:val="00000D34"/>
    <w:rsid w:val="000037AE"/>
    <w:rsid w:val="000107C8"/>
    <w:rsid w:val="00015C79"/>
    <w:rsid w:val="00017B71"/>
    <w:rsid w:val="00017E77"/>
    <w:rsid w:val="00030B9C"/>
    <w:rsid w:val="00031AFF"/>
    <w:rsid w:val="00031D67"/>
    <w:rsid w:val="000323F2"/>
    <w:rsid w:val="00044234"/>
    <w:rsid w:val="00050BDF"/>
    <w:rsid w:val="00053C1C"/>
    <w:rsid w:val="00060620"/>
    <w:rsid w:val="000654C1"/>
    <w:rsid w:val="00066B9A"/>
    <w:rsid w:val="000717B6"/>
    <w:rsid w:val="00072A9F"/>
    <w:rsid w:val="00076726"/>
    <w:rsid w:val="00080689"/>
    <w:rsid w:val="00083604"/>
    <w:rsid w:val="0008413E"/>
    <w:rsid w:val="00085AD1"/>
    <w:rsid w:val="00091F6A"/>
    <w:rsid w:val="0009266F"/>
    <w:rsid w:val="0009306F"/>
    <w:rsid w:val="000940C1"/>
    <w:rsid w:val="00097270"/>
    <w:rsid w:val="000A1B40"/>
    <w:rsid w:val="000A4E09"/>
    <w:rsid w:val="000B1800"/>
    <w:rsid w:val="000B1D99"/>
    <w:rsid w:val="000B3B2E"/>
    <w:rsid w:val="000B3F02"/>
    <w:rsid w:val="000C067E"/>
    <w:rsid w:val="000C1277"/>
    <w:rsid w:val="000C1917"/>
    <w:rsid w:val="000C627B"/>
    <w:rsid w:val="000C74F7"/>
    <w:rsid w:val="000D59CE"/>
    <w:rsid w:val="000E1491"/>
    <w:rsid w:val="000E2CE8"/>
    <w:rsid w:val="000E4DBA"/>
    <w:rsid w:val="000E7373"/>
    <w:rsid w:val="000F20E7"/>
    <w:rsid w:val="000F2C81"/>
    <w:rsid w:val="000F4EE2"/>
    <w:rsid w:val="001005DC"/>
    <w:rsid w:val="001016A6"/>
    <w:rsid w:val="00102243"/>
    <w:rsid w:val="00110C20"/>
    <w:rsid w:val="00112A6F"/>
    <w:rsid w:val="00120696"/>
    <w:rsid w:val="00125BB9"/>
    <w:rsid w:val="00125BED"/>
    <w:rsid w:val="001264EE"/>
    <w:rsid w:val="00127122"/>
    <w:rsid w:val="00127740"/>
    <w:rsid w:val="00130A00"/>
    <w:rsid w:val="001348A8"/>
    <w:rsid w:val="001350C3"/>
    <w:rsid w:val="0013559B"/>
    <w:rsid w:val="00135A0F"/>
    <w:rsid w:val="001403AA"/>
    <w:rsid w:val="00141214"/>
    <w:rsid w:val="00141F34"/>
    <w:rsid w:val="00142195"/>
    <w:rsid w:val="00144B13"/>
    <w:rsid w:val="00145226"/>
    <w:rsid w:val="001557B9"/>
    <w:rsid w:val="00161C82"/>
    <w:rsid w:val="001633DC"/>
    <w:rsid w:val="00163773"/>
    <w:rsid w:val="00165408"/>
    <w:rsid w:val="00166300"/>
    <w:rsid w:val="00170718"/>
    <w:rsid w:val="00170D1E"/>
    <w:rsid w:val="001712FB"/>
    <w:rsid w:val="001715D8"/>
    <w:rsid w:val="001721D9"/>
    <w:rsid w:val="00172F45"/>
    <w:rsid w:val="00173581"/>
    <w:rsid w:val="00173C0E"/>
    <w:rsid w:val="0017419E"/>
    <w:rsid w:val="00175453"/>
    <w:rsid w:val="00175876"/>
    <w:rsid w:val="00182F63"/>
    <w:rsid w:val="0018506A"/>
    <w:rsid w:val="00185B19"/>
    <w:rsid w:val="001868E1"/>
    <w:rsid w:val="00186BBA"/>
    <w:rsid w:val="00193BE8"/>
    <w:rsid w:val="0019724F"/>
    <w:rsid w:val="001A0163"/>
    <w:rsid w:val="001A046E"/>
    <w:rsid w:val="001A1F35"/>
    <w:rsid w:val="001A3589"/>
    <w:rsid w:val="001A6C5A"/>
    <w:rsid w:val="001A7B13"/>
    <w:rsid w:val="001B0138"/>
    <w:rsid w:val="001B0579"/>
    <w:rsid w:val="001B1D35"/>
    <w:rsid w:val="001B45C9"/>
    <w:rsid w:val="001B53EB"/>
    <w:rsid w:val="001B7982"/>
    <w:rsid w:val="001C19B6"/>
    <w:rsid w:val="001C5122"/>
    <w:rsid w:val="001C6561"/>
    <w:rsid w:val="001D0BEF"/>
    <w:rsid w:val="001D363B"/>
    <w:rsid w:val="001D4711"/>
    <w:rsid w:val="001D5E47"/>
    <w:rsid w:val="001D6FEC"/>
    <w:rsid w:val="001D756E"/>
    <w:rsid w:val="001E096B"/>
    <w:rsid w:val="001E702A"/>
    <w:rsid w:val="001F3D55"/>
    <w:rsid w:val="001F48A7"/>
    <w:rsid w:val="001F76C9"/>
    <w:rsid w:val="00200294"/>
    <w:rsid w:val="0020387A"/>
    <w:rsid w:val="00204312"/>
    <w:rsid w:val="00205E3E"/>
    <w:rsid w:val="002119E6"/>
    <w:rsid w:val="00213D14"/>
    <w:rsid w:val="002201D4"/>
    <w:rsid w:val="00221CFE"/>
    <w:rsid w:val="002249F1"/>
    <w:rsid w:val="002254A2"/>
    <w:rsid w:val="002259D6"/>
    <w:rsid w:val="002307A6"/>
    <w:rsid w:val="00230A5E"/>
    <w:rsid w:val="002356A0"/>
    <w:rsid w:val="00235FC1"/>
    <w:rsid w:val="0023739E"/>
    <w:rsid w:val="002378C6"/>
    <w:rsid w:val="0024042F"/>
    <w:rsid w:val="002415EF"/>
    <w:rsid w:val="00242A6E"/>
    <w:rsid w:val="0024471A"/>
    <w:rsid w:val="00250C33"/>
    <w:rsid w:val="00255664"/>
    <w:rsid w:val="00261D1B"/>
    <w:rsid w:val="00264611"/>
    <w:rsid w:val="00267321"/>
    <w:rsid w:val="00267D03"/>
    <w:rsid w:val="002725F1"/>
    <w:rsid w:val="00273634"/>
    <w:rsid w:val="00274853"/>
    <w:rsid w:val="00274895"/>
    <w:rsid w:val="00277CC6"/>
    <w:rsid w:val="00280EF2"/>
    <w:rsid w:val="002811D2"/>
    <w:rsid w:val="002868B1"/>
    <w:rsid w:val="00287119"/>
    <w:rsid w:val="0028714B"/>
    <w:rsid w:val="00292B99"/>
    <w:rsid w:val="00293216"/>
    <w:rsid w:val="002A085D"/>
    <w:rsid w:val="002A4AB6"/>
    <w:rsid w:val="002A560F"/>
    <w:rsid w:val="002B0950"/>
    <w:rsid w:val="002B22A9"/>
    <w:rsid w:val="002B3266"/>
    <w:rsid w:val="002B40A7"/>
    <w:rsid w:val="002B5465"/>
    <w:rsid w:val="002C07C0"/>
    <w:rsid w:val="002C34CC"/>
    <w:rsid w:val="002C36BC"/>
    <w:rsid w:val="002C4392"/>
    <w:rsid w:val="002C4990"/>
    <w:rsid w:val="002C7231"/>
    <w:rsid w:val="002D14BD"/>
    <w:rsid w:val="002D1559"/>
    <w:rsid w:val="002D6ED9"/>
    <w:rsid w:val="002E3569"/>
    <w:rsid w:val="002E4CBD"/>
    <w:rsid w:val="002F427B"/>
    <w:rsid w:val="002F57F8"/>
    <w:rsid w:val="00302F78"/>
    <w:rsid w:val="00304CFB"/>
    <w:rsid w:val="00305B3E"/>
    <w:rsid w:val="00310426"/>
    <w:rsid w:val="00311895"/>
    <w:rsid w:val="00312AF3"/>
    <w:rsid w:val="00322BDA"/>
    <w:rsid w:val="00324BCE"/>
    <w:rsid w:val="0032562A"/>
    <w:rsid w:val="003408CA"/>
    <w:rsid w:val="003416A8"/>
    <w:rsid w:val="00346B80"/>
    <w:rsid w:val="00360530"/>
    <w:rsid w:val="003632B7"/>
    <w:rsid w:val="00363D54"/>
    <w:rsid w:val="00366AD3"/>
    <w:rsid w:val="003670C2"/>
    <w:rsid w:val="003675E7"/>
    <w:rsid w:val="00367FB0"/>
    <w:rsid w:val="0037034A"/>
    <w:rsid w:val="00371689"/>
    <w:rsid w:val="0037170D"/>
    <w:rsid w:val="0037754B"/>
    <w:rsid w:val="003800C9"/>
    <w:rsid w:val="00383E97"/>
    <w:rsid w:val="00385AFC"/>
    <w:rsid w:val="00385CEE"/>
    <w:rsid w:val="00387695"/>
    <w:rsid w:val="003877FE"/>
    <w:rsid w:val="0039434D"/>
    <w:rsid w:val="003953BD"/>
    <w:rsid w:val="0039720F"/>
    <w:rsid w:val="003A148D"/>
    <w:rsid w:val="003A2E5A"/>
    <w:rsid w:val="003A5426"/>
    <w:rsid w:val="003B3295"/>
    <w:rsid w:val="003B7FBD"/>
    <w:rsid w:val="003C12D5"/>
    <w:rsid w:val="003D2AA5"/>
    <w:rsid w:val="003D6DDF"/>
    <w:rsid w:val="003E083B"/>
    <w:rsid w:val="003E0955"/>
    <w:rsid w:val="003E5A2B"/>
    <w:rsid w:val="003E6FE4"/>
    <w:rsid w:val="003F004C"/>
    <w:rsid w:val="003F339B"/>
    <w:rsid w:val="003F420D"/>
    <w:rsid w:val="003F46F9"/>
    <w:rsid w:val="003F55D4"/>
    <w:rsid w:val="003F7C20"/>
    <w:rsid w:val="00401D58"/>
    <w:rsid w:val="00404B29"/>
    <w:rsid w:val="004121CF"/>
    <w:rsid w:val="00412ED3"/>
    <w:rsid w:val="00413EF3"/>
    <w:rsid w:val="00415A0C"/>
    <w:rsid w:val="004325A5"/>
    <w:rsid w:val="00434342"/>
    <w:rsid w:val="00434492"/>
    <w:rsid w:val="00435AC9"/>
    <w:rsid w:val="00437A90"/>
    <w:rsid w:val="004407F4"/>
    <w:rsid w:val="00441494"/>
    <w:rsid w:val="004426A2"/>
    <w:rsid w:val="00442F22"/>
    <w:rsid w:val="00444D8E"/>
    <w:rsid w:val="004455B8"/>
    <w:rsid w:val="004463E4"/>
    <w:rsid w:val="00451170"/>
    <w:rsid w:val="00451FD3"/>
    <w:rsid w:val="00452F73"/>
    <w:rsid w:val="00455715"/>
    <w:rsid w:val="00456193"/>
    <w:rsid w:val="00457CA1"/>
    <w:rsid w:val="00457ED9"/>
    <w:rsid w:val="004611E7"/>
    <w:rsid w:val="004629DD"/>
    <w:rsid w:val="00463369"/>
    <w:rsid w:val="004658E1"/>
    <w:rsid w:val="0047222A"/>
    <w:rsid w:val="004733C3"/>
    <w:rsid w:val="00473988"/>
    <w:rsid w:val="004756E4"/>
    <w:rsid w:val="00477037"/>
    <w:rsid w:val="0048070B"/>
    <w:rsid w:val="004807FF"/>
    <w:rsid w:val="00480C90"/>
    <w:rsid w:val="00482C17"/>
    <w:rsid w:val="00487D30"/>
    <w:rsid w:val="00490534"/>
    <w:rsid w:val="00490A91"/>
    <w:rsid w:val="004922CE"/>
    <w:rsid w:val="004936A0"/>
    <w:rsid w:val="00494EF4"/>
    <w:rsid w:val="00497ECE"/>
    <w:rsid w:val="004A457E"/>
    <w:rsid w:val="004A49E7"/>
    <w:rsid w:val="004A4A51"/>
    <w:rsid w:val="004A5E20"/>
    <w:rsid w:val="004A769B"/>
    <w:rsid w:val="004A7BF5"/>
    <w:rsid w:val="004B64D8"/>
    <w:rsid w:val="004C15FB"/>
    <w:rsid w:val="004C3A12"/>
    <w:rsid w:val="004C4682"/>
    <w:rsid w:val="004C5334"/>
    <w:rsid w:val="004D2481"/>
    <w:rsid w:val="004D56AC"/>
    <w:rsid w:val="004E29C0"/>
    <w:rsid w:val="004E4173"/>
    <w:rsid w:val="004E4AE9"/>
    <w:rsid w:val="004F41C5"/>
    <w:rsid w:val="004F5CDE"/>
    <w:rsid w:val="004F6899"/>
    <w:rsid w:val="004F7370"/>
    <w:rsid w:val="004F7686"/>
    <w:rsid w:val="00500A32"/>
    <w:rsid w:val="00501141"/>
    <w:rsid w:val="0050115E"/>
    <w:rsid w:val="005020DB"/>
    <w:rsid w:val="00502190"/>
    <w:rsid w:val="00511822"/>
    <w:rsid w:val="005161A8"/>
    <w:rsid w:val="00521F93"/>
    <w:rsid w:val="005234E5"/>
    <w:rsid w:val="00525612"/>
    <w:rsid w:val="005309C0"/>
    <w:rsid w:val="00531489"/>
    <w:rsid w:val="00532BF2"/>
    <w:rsid w:val="00540B20"/>
    <w:rsid w:val="00545157"/>
    <w:rsid w:val="00551B56"/>
    <w:rsid w:val="0055260B"/>
    <w:rsid w:val="00552804"/>
    <w:rsid w:val="00554229"/>
    <w:rsid w:val="005547B6"/>
    <w:rsid w:val="00561A97"/>
    <w:rsid w:val="005624CE"/>
    <w:rsid w:val="00564709"/>
    <w:rsid w:val="00567B07"/>
    <w:rsid w:val="00571282"/>
    <w:rsid w:val="00571482"/>
    <w:rsid w:val="00571786"/>
    <w:rsid w:val="00573451"/>
    <w:rsid w:val="00575379"/>
    <w:rsid w:val="005810D9"/>
    <w:rsid w:val="005858B8"/>
    <w:rsid w:val="005904CC"/>
    <w:rsid w:val="00594441"/>
    <w:rsid w:val="005A468E"/>
    <w:rsid w:val="005B063E"/>
    <w:rsid w:val="005B0FF1"/>
    <w:rsid w:val="005B4941"/>
    <w:rsid w:val="005B4A59"/>
    <w:rsid w:val="005B4B36"/>
    <w:rsid w:val="005B519E"/>
    <w:rsid w:val="005B5C83"/>
    <w:rsid w:val="005B66BF"/>
    <w:rsid w:val="005B6873"/>
    <w:rsid w:val="005C064F"/>
    <w:rsid w:val="005C3779"/>
    <w:rsid w:val="005C5E82"/>
    <w:rsid w:val="005C7EC0"/>
    <w:rsid w:val="005D2F6B"/>
    <w:rsid w:val="005D51E6"/>
    <w:rsid w:val="005D6A3A"/>
    <w:rsid w:val="005D7A5A"/>
    <w:rsid w:val="005E15DF"/>
    <w:rsid w:val="005F1458"/>
    <w:rsid w:val="005F3D81"/>
    <w:rsid w:val="005F5A37"/>
    <w:rsid w:val="00603C7C"/>
    <w:rsid w:val="00611FF4"/>
    <w:rsid w:val="00612CE8"/>
    <w:rsid w:val="00613358"/>
    <w:rsid w:val="00613D4D"/>
    <w:rsid w:val="006161E5"/>
    <w:rsid w:val="0062153D"/>
    <w:rsid w:val="00621867"/>
    <w:rsid w:val="0062387B"/>
    <w:rsid w:val="00623AFF"/>
    <w:rsid w:val="00623F01"/>
    <w:rsid w:val="006302D3"/>
    <w:rsid w:val="006319F8"/>
    <w:rsid w:val="00634B35"/>
    <w:rsid w:val="00635369"/>
    <w:rsid w:val="006433C4"/>
    <w:rsid w:val="006440D5"/>
    <w:rsid w:val="00647374"/>
    <w:rsid w:val="00651121"/>
    <w:rsid w:val="006537BB"/>
    <w:rsid w:val="00653AEA"/>
    <w:rsid w:val="00654AF0"/>
    <w:rsid w:val="00656ECB"/>
    <w:rsid w:val="006609DC"/>
    <w:rsid w:val="00662CB2"/>
    <w:rsid w:val="006643E8"/>
    <w:rsid w:val="006709AB"/>
    <w:rsid w:val="00672A70"/>
    <w:rsid w:val="00681C22"/>
    <w:rsid w:val="0068580E"/>
    <w:rsid w:val="00687167"/>
    <w:rsid w:val="00687ABD"/>
    <w:rsid w:val="00690835"/>
    <w:rsid w:val="00691ADE"/>
    <w:rsid w:val="006940C8"/>
    <w:rsid w:val="006953E1"/>
    <w:rsid w:val="00695DA2"/>
    <w:rsid w:val="006963A0"/>
    <w:rsid w:val="006A718F"/>
    <w:rsid w:val="006B0098"/>
    <w:rsid w:val="006B09E4"/>
    <w:rsid w:val="006B0BE1"/>
    <w:rsid w:val="006B0D0F"/>
    <w:rsid w:val="006B4AF5"/>
    <w:rsid w:val="006B4D61"/>
    <w:rsid w:val="006B7215"/>
    <w:rsid w:val="006B761C"/>
    <w:rsid w:val="006C35F3"/>
    <w:rsid w:val="006C635E"/>
    <w:rsid w:val="006D2D6E"/>
    <w:rsid w:val="006D65B5"/>
    <w:rsid w:val="006D6A97"/>
    <w:rsid w:val="006D77F7"/>
    <w:rsid w:val="006E0385"/>
    <w:rsid w:val="006E165B"/>
    <w:rsid w:val="006E3290"/>
    <w:rsid w:val="006E43CE"/>
    <w:rsid w:val="006E49D1"/>
    <w:rsid w:val="006E5C56"/>
    <w:rsid w:val="006F0A5F"/>
    <w:rsid w:val="006F0D9A"/>
    <w:rsid w:val="006F1FC9"/>
    <w:rsid w:val="006F46E6"/>
    <w:rsid w:val="006F5071"/>
    <w:rsid w:val="006F7503"/>
    <w:rsid w:val="007008D9"/>
    <w:rsid w:val="00700BF3"/>
    <w:rsid w:val="0070109F"/>
    <w:rsid w:val="00702059"/>
    <w:rsid w:val="00703D6E"/>
    <w:rsid w:val="00704552"/>
    <w:rsid w:val="007046C5"/>
    <w:rsid w:val="00705F34"/>
    <w:rsid w:val="00712C68"/>
    <w:rsid w:val="0071571A"/>
    <w:rsid w:val="007174C8"/>
    <w:rsid w:val="00721242"/>
    <w:rsid w:val="00732FF2"/>
    <w:rsid w:val="00735E67"/>
    <w:rsid w:val="00737ABB"/>
    <w:rsid w:val="00740A63"/>
    <w:rsid w:val="0074295E"/>
    <w:rsid w:val="00746978"/>
    <w:rsid w:val="0076257F"/>
    <w:rsid w:val="00764E48"/>
    <w:rsid w:val="0076745E"/>
    <w:rsid w:val="007711ED"/>
    <w:rsid w:val="0077506D"/>
    <w:rsid w:val="00780640"/>
    <w:rsid w:val="007807CC"/>
    <w:rsid w:val="00782303"/>
    <w:rsid w:val="00785821"/>
    <w:rsid w:val="00785C91"/>
    <w:rsid w:val="007907F7"/>
    <w:rsid w:val="00792768"/>
    <w:rsid w:val="007958A8"/>
    <w:rsid w:val="007958C6"/>
    <w:rsid w:val="007A2374"/>
    <w:rsid w:val="007A2A51"/>
    <w:rsid w:val="007A5300"/>
    <w:rsid w:val="007B0BE7"/>
    <w:rsid w:val="007B11E0"/>
    <w:rsid w:val="007B1C63"/>
    <w:rsid w:val="007B2383"/>
    <w:rsid w:val="007B2E59"/>
    <w:rsid w:val="007C0773"/>
    <w:rsid w:val="007C1215"/>
    <w:rsid w:val="007C32EE"/>
    <w:rsid w:val="007C3C38"/>
    <w:rsid w:val="007C417B"/>
    <w:rsid w:val="007C4776"/>
    <w:rsid w:val="007C5A91"/>
    <w:rsid w:val="007D26D5"/>
    <w:rsid w:val="007D29B7"/>
    <w:rsid w:val="007D55CF"/>
    <w:rsid w:val="007D65F6"/>
    <w:rsid w:val="007D6A99"/>
    <w:rsid w:val="007D71E9"/>
    <w:rsid w:val="007E0452"/>
    <w:rsid w:val="007E172E"/>
    <w:rsid w:val="007E2B21"/>
    <w:rsid w:val="007E67B5"/>
    <w:rsid w:val="007F0381"/>
    <w:rsid w:val="007F28C8"/>
    <w:rsid w:val="007F2F5A"/>
    <w:rsid w:val="007F3565"/>
    <w:rsid w:val="007F6B39"/>
    <w:rsid w:val="007F79B7"/>
    <w:rsid w:val="00800BBF"/>
    <w:rsid w:val="00805BCE"/>
    <w:rsid w:val="00810993"/>
    <w:rsid w:val="00813BE5"/>
    <w:rsid w:val="0081498C"/>
    <w:rsid w:val="008208E1"/>
    <w:rsid w:val="00821E88"/>
    <w:rsid w:val="00826836"/>
    <w:rsid w:val="00827BD5"/>
    <w:rsid w:val="00832081"/>
    <w:rsid w:val="0083557A"/>
    <w:rsid w:val="00842CF3"/>
    <w:rsid w:val="00843B99"/>
    <w:rsid w:val="008452F5"/>
    <w:rsid w:val="00850A6E"/>
    <w:rsid w:val="0085123D"/>
    <w:rsid w:val="008525FC"/>
    <w:rsid w:val="00852CAD"/>
    <w:rsid w:val="00853765"/>
    <w:rsid w:val="008540C8"/>
    <w:rsid w:val="008568D2"/>
    <w:rsid w:val="00857758"/>
    <w:rsid w:val="008627B5"/>
    <w:rsid w:val="0086450B"/>
    <w:rsid w:val="008648A3"/>
    <w:rsid w:val="00864E02"/>
    <w:rsid w:val="00870A32"/>
    <w:rsid w:val="0087171E"/>
    <w:rsid w:val="00873BEA"/>
    <w:rsid w:val="008808EB"/>
    <w:rsid w:val="008829C7"/>
    <w:rsid w:val="00883502"/>
    <w:rsid w:val="008849C8"/>
    <w:rsid w:val="00885C9F"/>
    <w:rsid w:val="008909BA"/>
    <w:rsid w:val="00891486"/>
    <w:rsid w:val="00892A7F"/>
    <w:rsid w:val="00893965"/>
    <w:rsid w:val="00897B56"/>
    <w:rsid w:val="008A1AE5"/>
    <w:rsid w:val="008A230B"/>
    <w:rsid w:val="008A2E01"/>
    <w:rsid w:val="008B2E45"/>
    <w:rsid w:val="008B3624"/>
    <w:rsid w:val="008B4BD7"/>
    <w:rsid w:val="008B5B1A"/>
    <w:rsid w:val="008C283A"/>
    <w:rsid w:val="008C2B8F"/>
    <w:rsid w:val="008C2FBA"/>
    <w:rsid w:val="008C37C5"/>
    <w:rsid w:val="008C3A19"/>
    <w:rsid w:val="008C3C48"/>
    <w:rsid w:val="008C403B"/>
    <w:rsid w:val="008D0F08"/>
    <w:rsid w:val="008D3E42"/>
    <w:rsid w:val="008D41F7"/>
    <w:rsid w:val="008D5499"/>
    <w:rsid w:val="008E239E"/>
    <w:rsid w:val="008E3801"/>
    <w:rsid w:val="008E4382"/>
    <w:rsid w:val="008E509A"/>
    <w:rsid w:val="008E5E33"/>
    <w:rsid w:val="008E6471"/>
    <w:rsid w:val="008E6D86"/>
    <w:rsid w:val="008E72C9"/>
    <w:rsid w:val="008E76F8"/>
    <w:rsid w:val="008E7E4C"/>
    <w:rsid w:val="008F2ECB"/>
    <w:rsid w:val="008F481B"/>
    <w:rsid w:val="008F5A18"/>
    <w:rsid w:val="00900CDD"/>
    <w:rsid w:val="00903616"/>
    <w:rsid w:val="00906717"/>
    <w:rsid w:val="0091272E"/>
    <w:rsid w:val="00915057"/>
    <w:rsid w:val="00916CCB"/>
    <w:rsid w:val="00920987"/>
    <w:rsid w:val="00926A9C"/>
    <w:rsid w:val="00931A01"/>
    <w:rsid w:val="009334DD"/>
    <w:rsid w:val="00940314"/>
    <w:rsid w:val="009436D1"/>
    <w:rsid w:val="009464DA"/>
    <w:rsid w:val="0095003D"/>
    <w:rsid w:val="009501F2"/>
    <w:rsid w:val="00953C1D"/>
    <w:rsid w:val="00955750"/>
    <w:rsid w:val="00955C8D"/>
    <w:rsid w:val="00956489"/>
    <w:rsid w:val="009564C8"/>
    <w:rsid w:val="0095719D"/>
    <w:rsid w:val="00957E6D"/>
    <w:rsid w:val="00971944"/>
    <w:rsid w:val="00973B7A"/>
    <w:rsid w:val="00975E2E"/>
    <w:rsid w:val="0097640C"/>
    <w:rsid w:val="00977EF9"/>
    <w:rsid w:val="009801CB"/>
    <w:rsid w:val="00980515"/>
    <w:rsid w:val="0098074C"/>
    <w:rsid w:val="00982A15"/>
    <w:rsid w:val="00982FD5"/>
    <w:rsid w:val="009838BF"/>
    <w:rsid w:val="009869F6"/>
    <w:rsid w:val="0098714E"/>
    <w:rsid w:val="00990CE3"/>
    <w:rsid w:val="00994E7C"/>
    <w:rsid w:val="00995FF6"/>
    <w:rsid w:val="00997892"/>
    <w:rsid w:val="009A099A"/>
    <w:rsid w:val="009A0DD7"/>
    <w:rsid w:val="009A25B1"/>
    <w:rsid w:val="009A3955"/>
    <w:rsid w:val="009A3CCC"/>
    <w:rsid w:val="009A476C"/>
    <w:rsid w:val="009A7951"/>
    <w:rsid w:val="009A7C3B"/>
    <w:rsid w:val="009B0784"/>
    <w:rsid w:val="009B26BA"/>
    <w:rsid w:val="009B326C"/>
    <w:rsid w:val="009B4007"/>
    <w:rsid w:val="009B774D"/>
    <w:rsid w:val="009C0593"/>
    <w:rsid w:val="009C2888"/>
    <w:rsid w:val="009C2CF4"/>
    <w:rsid w:val="009C3AEF"/>
    <w:rsid w:val="009C43FD"/>
    <w:rsid w:val="009C5914"/>
    <w:rsid w:val="009C5D38"/>
    <w:rsid w:val="009D0C0D"/>
    <w:rsid w:val="009D0D89"/>
    <w:rsid w:val="009D1096"/>
    <w:rsid w:val="009D171B"/>
    <w:rsid w:val="009D2393"/>
    <w:rsid w:val="009D2F9C"/>
    <w:rsid w:val="009D7269"/>
    <w:rsid w:val="009E36A0"/>
    <w:rsid w:val="009F2313"/>
    <w:rsid w:val="009F236C"/>
    <w:rsid w:val="009F2ACE"/>
    <w:rsid w:val="009F3F5D"/>
    <w:rsid w:val="009F5FC4"/>
    <w:rsid w:val="00A001FA"/>
    <w:rsid w:val="00A039AD"/>
    <w:rsid w:val="00A10F56"/>
    <w:rsid w:val="00A120FA"/>
    <w:rsid w:val="00A17CCD"/>
    <w:rsid w:val="00A202F3"/>
    <w:rsid w:val="00A20389"/>
    <w:rsid w:val="00A25C22"/>
    <w:rsid w:val="00A26361"/>
    <w:rsid w:val="00A34C59"/>
    <w:rsid w:val="00A377B1"/>
    <w:rsid w:val="00A42249"/>
    <w:rsid w:val="00A430EF"/>
    <w:rsid w:val="00A458B8"/>
    <w:rsid w:val="00A46124"/>
    <w:rsid w:val="00A50CBE"/>
    <w:rsid w:val="00A51274"/>
    <w:rsid w:val="00A527F1"/>
    <w:rsid w:val="00A54D05"/>
    <w:rsid w:val="00A56ED9"/>
    <w:rsid w:val="00A57906"/>
    <w:rsid w:val="00A61CD7"/>
    <w:rsid w:val="00A62E54"/>
    <w:rsid w:val="00A67414"/>
    <w:rsid w:val="00A70383"/>
    <w:rsid w:val="00A7227C"/>
    <w:rsid w:val="00A735D1"/>
    <w:rsid w:val="00A75A75"/>
    <w:rsid w:val="00A82BEE"/>
    <w:rsid w:val="00A8474E"/>
    <w:rsid w:val="00A903C1"/>
    <w:rsid w:val="00A95139"/>
    <w:rsid w:val="00A977CD"/>
    <w:rsid w:val="00AA41BD"/>
    <w:rsid w:val="00AA5183"/>
    <w:rsid w:val="00AB196F"/>
    <w:rsid w:val="00AB2690"/>
    <w:rsid w:val="00AB2804"/>
    <w:rsid w:val="00AB47D4"/>
    <w:rsid w:val="00AB4F66"/>
    <w:rsid w:val="00AB56B2"/>
    <w:rsid w:val="00AB7BEC"/>
    <w:rsid w:val="00AC27CA"/>
    <w:rsid w:val="00AC3300"/>
    <w:rsid w:val="00AC6EDB"/>
    <w:rsid w:val="00AC6F59"/>
    <w:rsid w:val="00AD01B4"/>
    <w:rsid w:val="00AD118E"/>
    <w:rsid w:val="00AD3B28"/>
    <w:rsid w:val="00AD3CF1"/>
    <w:rsid w:val="00AD5067"/>
    <w:rsid w:val="00AE16E6"/>
    <w:rsid w:val="00AE4E39"/>
    <w:rsid w:val="00AE546D"/>
    <w:rsid w:val="00AE7633"/>
    <w:rsid w:val="00AF02E6"/>
    <w:rsid w:val="00AF05B0"/>
    <w:rsid w:val="00AF0BBA"/>
    <w:rsid w:val="00AF4019"/>
    <w:rsid w:val="00AF4B1B"/>
    <w:rsid w:val="00AF4C68"/>
    <w:rsid w:val="00AF62F2"/>
    <w:rsid w:val="00B02C95"/>
    <w:rsid w:val="00B03CB2"/>
    <w:rsid w:val="00B10712"/>
    <w:rsid w:val="00B141EC"/>
    <w:rsid w:val="00B14BF2"/>
    <w:rsid w:val="00B155D8"/>
    <w:rsid w:val="00B23A59"/>
    <w:rsid w:val="00B2574E"/>
    <w:rsid w:val="00B25AFF"/>
    <w:rsid w:val="00B27143"/>
    <w:rsid w:val="00B27855"/>
    <w:rsid w:val="00B31B79"/>
    <w:rsid w:val="00B32E19"/>
    <w:rsid w:val="00B337D5"/>
    <w:rsid w:val="00B35B0E"/>
    <w:rsid w:val="00B4335D"/>
    <w:rsid w:val="00B44E86"/>
    <w:rsid w:val="00B50F8C"/>
    <w:rsid w:val="00B52C1A"/>
    <w:rsid w:val="00B615CE"/>
    <w:rsid w:val="00B645D8"/>
    <w:rsid w:val="00B6595D"/>
    <w:rsid w:val="00B70AEC"/>
    <w:rsid w:val="00B7142C"/>
    <w:rsid w:val="00B7203A"/>
    <w:rsid w:val="00B73C2A"/>
    <w:rsid w:val="00B7483C"/>
    <w:rsid w:val="00B765CD"/>
    <w:rsid w:val="00B82537"/>
    <w:rsid w:val="00B8393F"/>
    <w:rsid w:val="00B84AF0"/>
    <w:rsid w:val="00B91942"/>
    <w:rsid w:val="00B92AB6"/>
    <w:rsid w:val="00B96C3D"/>
    <w:rsid w:val="00B9731C"/>
    <w:rsid w:val="00BA04E3"/>
    <w:rsid w:val="00BA59E9"/>
    <w:rsid w:val="00BA65E6"/>
    <w:rsid w:val="00BB19BF"/>
    <w:rsid w:val="00BD002D"/>
    <w:rsid w:val="00BD48DA"/>
    <w:rsid w:val="00BD59AE"/>
    <w:rsid w:val="00BE1CD9"/>
    <w:rsid w:val="00BF3380"/>
    <w:rsid w:val="00BF339B"/>
    <w:rsid w:val="00BF5DF6"/>
    <w:rsid w:val="00C0244B"/>
    <w:rsid w:val="00C0707A"/>
    <w:rsid w:val="00C106BA"/>
    <w:rsid w:val="00C1136C"/>
    <w:rsid w:val="00C11D67"/>
    <w:rsid w:val="00C12423"/>
    <w:rsid w:val="00C12678"/>
    <w:rsid w:val="00C14978"/>
    <w:rsid w:val="00C14B2C"/>
    <w:rsid w:val="00C16072"/>
    <w:rsid w:val="00C20407"/>
    <w:rsid w:val="00C223E8"/>
    <w:rsid w:val="00C2356E"/>
    <w:rsid w:val="00C24816"/>
    <w:rsid w:val="00C32CCB"/>
    <w:rsid w:val="00C36853"/>
    <w:rsid w:val="00C41EE7"/>
    <w:rsid w:val="00C44DFA"/>
    <w:rsid w:val="00C47237"/>
    <w:rsid w:val="00C5052B"/>
    <w:rsid w:val="00C50979"/>
    <w:rsid w:val="00C50F0A"/>
    <w:rsid w:val="00C5573D"/>
    <w:rsid w:val="00C55AEB"/>
    <w:rsid w:val="00C55AF8"/>
    <w:rsid w:val="00C5705A"/>
    <w:rsid w:val="00C60163"/>
    <w:rsid w:val="00C60530"/>
    <w:rsid w:val="00C6561B"/>
    <w:rsid w:val="00C70880"/>
    <w:rsid w:val="00C70EE7"/>
    <w:rsid w:val="00C71AFE"/>
    <w:rsid w:val="00C73B91"/>
    <w:rsid w:val="00C76B5E"/>
    <w:rsid w:val="00C82DB8"/>
    <w:rsid w:val="00C834C2"/>
    <w:rsid w:val="00C84D28"/>
    <w:rsid w:val="00C8546F"/>
    <w:rsid w:val="00C861B5"/>
    <w:rsid w:val="00C86DD1"/>
    <w:rsid w:val="00C872E4"/>
    <w:rsid w:val="00C90887"/>
    <w:rsid w:val="00C90DE2"/>
    <w:rsid w:val="00C9286D"/>
    <w:rsid w:val="00C93D60"/>
    <w:rsid w:val="00CA16AB"/>
    <w:rsid w:val="00CA24D4"/>
    <w:rsid w:val="00CA47CA"/>
    <w:rsid w:val="00CB16DA"/>
    <w:rsid w:val="00CC1A2A"/>
    <w:rsid w:val="00CC7AEB"/>
    <w:rsid w:val="00CD15F8"/>
    <w:rsid w:val="00CD7016"/>
    <w:rsid w:val="00CD7419"/>
    <w:rsid w:val="00CD7683"/>
    <w:rsid w:val="00CE00D3"/>
    <w:rsid w:val="00CE40C9"/>
    <w:rsid w:val="00CE7713"/>
    <w:rsid w:val="00CE7C53"/>
    <w:rsid w:val="00CF268D"/>
    <w:rsid w:val="00CF51FA"/>
    <w:rsid w:val="00CF7262"/>
    <w:rsid w:val="00CF74F1"/>
    <w:rsid w:val="00D00F87"/>
    <w:rsid w:val="00D01C64"/>
    <w:rsid w:val="00D02B41"/>
    <w:rsid w:val="00D02C02"/>
    <w:rsid w:val="00D04C05"/>
    <w:rsid w:val="00D04E5F"/>
    <w:rsid w:val="00D0625D"/>
    <w:rsid w:val="00D063D8"/>
    <w:rsid w:val="00D0728B"/>
    <w:rsid w:val="00D111C6"/>
    <w:rsid w:val="00D117BB"/>
    <w:rsid w:val="00D13324"/>
    <w:rsid w:val="00D15C62"/>
    <w:rsid w:val="00D15D40"/>
    <w:rsid w:val="00D17C25"/>
    <w:rsid w:val="00D2113E"/>
    <w:rsid w:val="00D24EED"/>
    <w:rsid w:val="00D26650"/>
    <w:rsid w:val="00D418DF"/>
    <w:rsid w:val="00D44A99"/>
    <w:rsid w:val="00D4652C"/>
    <w:rsid w:val="00D511C1"/>
    <w:rsid w:val="00D52C45"/>
    <w:rsid w:val="00D545EC"/>
    <w:rsid w:val="00D6062A"/>
    <w:rsid w:val="00D6440A"/>
    <w:rsid w:val="00D70852"/>
    <w:rsid w:val="00D70A28"/>
    <w:rsid w:val="00D717DB"/>
    <w:rsid w:val="00D80E97"/>
    <w:rsid w:val="00D81E45"/>
    <w:rsid w:val="00D85C17"/>
    <w:rsid w:val="00D86215"/>
    <w:rsid w:val="00D93347"/>
    <w:rsid w:val="00D93687"/>
    <w:rsid w:val="00D96C4C"/>
    <w:rsid w:val="00D96F4A"/>
    <w:rsid w:val="00DA0054"/>
    <w:rsid w:val="00DA1556"/>
    <w:rsid w:val="00DA3A80"/>
    <w:rsid w:val="00DB30CB"/>
    <w:rsid w:val="00DB3185"/>
    <w:rsid w:val="00DB45F2"/>
    <w:rsid w:val="00DB5F4D"/>
    <w:rsid w:val="00DB616A"/>
    <w:rsid w:val="00DB6F3E"/>
    <w:rsid w:val="00DC16FA"/>
    <w:rsid w:val="00DD427C"/>
    <w:rsid w:val="00DD525C"/>
    <w:rsid w:val="00DE0083"/>
    <w:rsid w:val="00DE01F0"/>
    <w:rsid w:val="00DE0E40"/>
    <w:rsid w:val="00DE7DB9"/>
    <w:rsid w:val="00DF0328"/>
    <w:rsid w:val="00DF07B6"/>
    <w:rsid w:val="00DF0DB6"/>
    <w:rsid w:val="00DF1D7F"/>
    <w:rsid w:val="00DF3C89"/>
    <w:rsid w:val="00DF49C2"/>
    <w:rsid w:val="00DF5951"/>
    <w:rsid w:val="00DF79D2"/>
    <w:rsid w:val="00E014DE"/>
    <w:rsid w:val="00E0243B"/>
    <w:rsid w:val="00E04F62"/>
    <w:rsid w:val="00E07813"/>
    <w:rsid w:val="00E101B6"/>
    <w:rsid w:val="00E115E0"/>
    <w:rsid w:val="00E11AEB"/>
    <w:rsid w:val="00E14B94"/>
    <w:rsid w:val="00E20827"/>
    <w:rsid w:val="00E23163"/>
    <w:rsid w:val="00E24664"/>
    <w:rsid w:val="00E25BFC"/>
    <w:rsid w:val="00E26921"/>
    <w:rsid w:val="00E35B94"/>
    <w:rsid w:val="00E37895"/>
    <w:rsid w:val="00E40046"/>
    <w:rsid w:val="00E439D4"/>
    <w:rsid w:val="00E44B13"/>
    <w:rsid w:val="00E471B7"/>
    <w:rsid w:val="00E54DBA"/>
    <w:rsid w:val="00E578E2"/>
    <w:rsid w:val="00E57900"/>
    <w:rsid w:val="00E606A1"/>
    <w:rsid w:val="00E617DA"/>
    <w:rsid w:val="00E639DA"/>
    <w:rsid w:val="00E655E9"/>
    <w:rsid w:val="00E67D94"/>
    <w:rsid w:val="00E71181"/>
    <w:rsid w:val="00E725AA"/>
    <w:rsid w:val="00E80D96"/>
    <w:rsid w:val="00E839CE"/>
    <w:rsid w:val="00E83E87"/>
    <w:rsid w:val="00E87F0B"/>
    <w:rsid w:val="00E913FB"/>
    <w:rsid w:val="00E91A25"/>
    <w:rsid w:val="00E93122"/>
    <w:rsid w:val="00E942FF"/>
    <w:rsid w:val="00E96C0C"/>
    <w:rsid w:val="00E97168"/>
    <w:rsid w:val="00EA02E4"/>
    <w:rsid w:val="00EA1B50"/>
    <w:rsid w:val="00EA2B8E"/>
    <w:rsid w:val="00EA3177"/>
    <w:rsid w:val="00EA48F2"/>
    <w:rsid w:val="00EA786E"/>
    <w:rsid w:val="00EB16CD"/>
    <w:rsid w:val="00EB1B12"/>
    <w:rsid w:val="00EB4DE2"/>
    <w:rsid w:val="00EB5530"/>
    <w:rsid w:val="00EB59F1"/>
    <w:rsid w:val="00EB7FB4"/>
    <w:rsid w:val="00EC0DE3"/>
    <w:rsid w:val="00EC117D"/>
    <w:rsid w:val="00EC3893"/>
    <w:rsid w:val="00EC4443"/>
    <w:rsid w:val="00ED0B8F"/>
    <w:rsid w:val="00ED0F78"/>
    <w:rsid w:val="00EE1957"/>
    <w:rsid w:val="00EE45C2"/>
    <w:rsid w:val="00EE6CBD"/>
    <w:rsid w:val="00EE7990"/>
    <w:rsid w:val="00EF11D8"/>
    <w:rsid w:val="00EF32A2"/>
    <w:rsid w:val="00EF391D"/>
    <w:rsid w:val="00EF497A"/>
    <w:rsid w:val="00EF53C0"/>
    <w:rsid w:val="00EF5D7E"/>
    <w:rsid w:val="00F00030"/>
    <w:rsid w:val="00F012BC"/>
    <w:rsid w:val="00F02A20"/>
    <w:rsid w:val="00F03F23"/>
    <w:rsid w:val="00F0472F"/>
    <w:rsid w:val="00F05DD5"/>
    <w:rsid w:val="00F075F8"/>
    <w:rsid w:val="00F1029E"/>
    <w:rsid w:val="00F11259"/>
    <w:rsid w:val="00F11BEE"/>
    <w:rsid w:val="00F130FC"/>
    <w:rsid w:val="00F13522"/>
    <w:rsid w:val="00F16105"/>
    <w:rsid w:val="00F167E4"/>
    <w:rsid w:val="00F2016A"/>
    <w:rsid w:val="00F248DF"/>
    <w:rsid w:val="00F27283"/>
    <w:rsid w:val="00F30A8E"/>
    <w:rsid w:val="00F31DDF"/>
    <w:rsid w:val="00F324FD"/>
    <w:rsid w:val="00F36EFB"/>
    <w:rsid w:val="00F42946"/>
    <w:rsid w:val="00F4656C"/>
    <w:rsid w:val="00F567C5"/>
    <w:rsid w:val="00F61446"/>
    <w:rsid w:val="00F62EB7"/>
    <w:rsid w:val="00F63BB2"/>
    <w:rsid w:val="00F663E8"/>
    <w:rsid w:val="00F70947"/>
    <w:rsid w:val="00F71129"/>
    <w:rsid w:val="00F71718"/>
    <w:rsid w:val="00F71A4B"/>
    <w:rsid w:val="00F73B80"/>
    <w:rsid w:val="00F7462C"/>
    <w:rsid w:val="00F75C5D"/>
    <w:rsid w:val="00F77CF9"/>
    <w:rsid w:val="00F81C54"/>
    <w:rsid w:val="00F83B9E"/>
    <w:rsid w:val="00F83BB6"/>
    <w:rsid w:val="00F9022D"/>
    <w:rsid w:val="00F9265D"/>
    <w:rsid w:val="00F950E4"/>
    <w:rsid w:val="00FA0F24"/>
    <w:rsid w:val="00FA1F84"/>
    <w:rsid w:val="00FA2BDD"/>
    <w:rsid w:val="00FA3F17"/>
    <w:rsid w:val="00FA63E5"/>
    <w:rsid w:val="00FA7270"/>
    <w:rsid w:val="00FB03D8"/>
    <w:rsid w:val="00FB183C"/>
    <w:rsid w:val="00FB54D4"/>
    <w:rsid w:val="00FB5CBC"/>
    <w:rsid w:val="00FC0156"/>
    <w:rsid w:val="00FC1098"/>
    <w:rsid w:val="00FC4B32"/>
    <w:rsid w:val="00FC4DA6"/>
    <w:rsid w:val="00FD4673"/>
    <w:rsid w:val="00FD47E9"/>
    <w:rsid w:val="00FD5720"/>
    <w:rsid w:val="00FD6DC2"/>
    <w:rsid w:val="00FD7AD6"/>
    <w:rsid w:val="00FE10F6"/>
    <w:rsid w:val="00FE312B"/>
    <w:rsid w:val="00FE4253"/>
    <w:rsid w:val="00FE7C3A"/>
    <w:rsid w:val="00FE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2ECF40B"/>
  <w15:chartTrackingRefBased/>
  <w15:docId w15:val="{DB253419-15B9-4C6B-8FCC-2D4A30C6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4DBA"/>
    <w:rPr>
      <w:sz w:val="24"/>
      <w:szCs w:val="24"/>
      <w:lang w:val="ro-RO"/>
    </w:rPr>
  </w:style>
  <w:style w:type="paragraph" w:styleId="Heading1">
    <w:name w:val="heading 1"/>
    <w:basedOn w:val="Normal"/>
    <w:next w:val="Normal"/>
    <w:qFormat/>
    <w:rsid w:val="0019724F"/>
    <w:pPr>
      <w:keepNext/>
      <w:jc w:val="center"/>
      <w:outlineLvl w:val="0"/>
    </w:pPr>
    <w:rPr>
      <w:b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B31B79"/>
    <w:rPr>
      <w:b/>
      <w:bCs/>
    </w:rPr>
  </w:style>
  <w:style w:type="paragraph" w:styleId="Header">
    <w:name w:val="header"/>
    <w:basedOn w:val="Normal"/>
    <w:link w:val="HeaderChar"/>
    <w:rsid w:val="00545157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ro-RO"/>
    </w:rPr>
  </w:style>
  <w:style w:type="character" w:customStyle="1" w:styleId="HeaderChar">
    <w:name w:val="Header Char"/>
    <w:link w:val="Header"/>
    <w:rsid w:val="00545157"/>
    <w:rPr>
      <w:rFonts w:ascii="Arial" w:hAnsi="Arial"/>
      <w:lang w:val="ro-RO" w:eastAsia="ro-RO" w:bidi="ar-SA"/>
    </w:rPr>
  </w:style>
  <w:style w:type="paragraph" w:styleId="Footer">
    <w:name w:val="footer"/>
    <w:basedOn w:val="Normal"/>
    <w:link w:val="FooterChar"/>
    <w:rsid w:val="00545157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ro-RO"/>
    </w:rPr>
  </w:style>
  <w:style w:type="character" w:customStyle="1" w:styleId="FooterChar">
    <w:name w:val="Footer Char"/>
    <w:link w:val="Footer"/>
    <w:rsid w:val="00545157"/>
    <w:rPr>
      <w:rFonts w:ascii="Arial" w:hAnsi="Arial"/>
      <w:lang w:val="ro-RO" w:eastAsia="ro-RO" w:bidi="ar-SA"/>
    </w:rPr>
  </w:style>
  <w:style w:type="table" w:styleId="TableGrid">
    <w:name w:val="Table Grid"/>
    <w:basedOn w:val="TableNormal"/>
    <w:rsid w:val="00545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545157"/>
  </w:style>
  <w:style w:type="paragraph" w:customStyle="1" w:styleId="CharChar">
    <w:name w:val=" Char Char"/>
    <w:basedOn w:val="Normal"/>
    <w:rsid w:val="00C44DFA"/>
    <w:rPr>
      <w:lang w:val="pl-PL" w:eastAsia="pl-PL"/>
    </w:rPr>
  </w:style>
  <w:style w:type="character" w:customStyle="1" w:styleId="CaracterCaracter">
    <w:name w:val=" Caracter Caracter"/>
    <w:rsid w:val="00C44DFA"/>
    <w:rPr>
      <w:rFonts w:ascii="Arial" w:hAnsi="Arial"/>
      <w:lang w:val="ro-RO" w:eastAsia="ro-RO" w:bidi="ar-SA"/>
    </w:rPr>
  </w:style>
  <w:style w:type="paragraph" w:styleId="TOC1">
    <w:name w:val="toc 1"/>
    <w:basedOn w:val="Normal"/>
    <w:next w:val="Normal"/>
    <w:autoRedefine/>
    <w:semiHidden/>
    <w:rsid w:val="00080689"/>
  </w:style>
  <w:style w:type="character" w:styleId="Hyperlink">
    <w:name w:val="Hyperlink"/>
    <w:rsid w:val="00080689"/>
    <w:rPr>
      <w:color w:val="0000FF"/>
      <w:u w:val="single"/>
    </w:rPr>
  </w:style>
  <w:style w:type="paragraph" w:styleId="BodyTextIndent2">
    <w:name w:val="Body Text Indent 2"/>
    <w:basedOn w:val="Normal"/>
    <w:rsid w:val="001A1F35"/>
    <w:pPr>
      <w:spacing w:after="120" w:line="480" w:lineRule="auto"/>
      <w:ind w:left="283"/>
    </w:pPr>
    <w:rPr>
      <w:rFonts w:ascii="Arial" w:hAnsi="Arial"/>
      <w:sz w:val="20"/>
      <w:szCs w:val="20"/>
      <w:lang w:eastAsia="ro-RO"/>
    </w:rPr>
  </w:style>
  <w:style w:type="character" w:styleId="FollowedHyperlink">
    <w:name w:val="FollowedHyperlink"/>
    <w:rsid w:val="001348A8"/>
    <w:rPr>
      <w:color w:val="800080"/>
      <w:u w:val="single"/>
    </w:rPr>
  </w:style>
  <w:style w:type="paragraph" w:styleId="FootnoteText">
    <w:name w:val="footnote text"/>
    <w:basedOn w:val="Normal"/>
    <w:semiHidden/>
    <w:rsid w:val="007B0BE7"/>
    <w:rPr>
      <w:rFonts w:ascii="Arial" w:hAnsi="Arial"/>
      <w:sz w:val="20"/>
      <w:szCs w:val="20"/>
      <w:lang w:eastAsia="ro-RO"/>
    </w:rPr>
  </w:style>
  <w:style w:type="character" w:styleId="FootnoteReference">
    <w:name w:val="footnote reference"/>
    <w:semiHidden/>
    <w:rsid w:val="007B0BE7"/>
    <w:rPr>
      <w:vertAlign w:val="superscript"/>
    </w:rPr>
  </w:style>
  <w:style w:type="paragraph" w:styleId="HTMLPreformatted">
    <w:name w:val="HTML Preformatted"/>
    <w:basedOn w:val="Normal"/>
    <w:rsid w:val="007B0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customStyle="1" w:styleId="CharChar0">
    <w:name w:val="Char Char"/>
    <w:basedOn w:val="Normal"/>
    <w:rsid w:val="0019724F"/>
    <w:rPr>
      <w:lang w:val="pl-PL" w:eastAsia="pl-PL"/>
    </w:rPr>
  </w:style>
  <w:style w:type="paragraph" w:styleId="BodyText">
    <w:name w:val="Body Text"/>
    <w:basedOn w:val="Normal"/>
    <w:rsid w:val="0019724F"/>
    <w:pPr>
      <w:spacing w:after="120"/>
    </w:pPr>
    <w:rPr>
      <w:sz w:val="28"/>
      <w:szCs w:val="28"/>
      <w:lang w:val="en-US" w:eastAsia="ro-RO"/>
    </w:rPr>
  </w:style>
  <w:style w:type="paragraph" w:customStyle="1" w:styleId="DefaultText">
    <w:name w:val="Default Text"/>
    <w:basedOn w:val="Normal"/>
    <w:rsid w:val="0019724F"/>
    <w:rPr>
      <w:snapToGrid w:val="0"/>
      <w:szCs w:val="20"/>
      <w:lang w:val="en-US"/>
    </w:rPr>
  </w:style>
  <w:style w:type="character" w:customStyle="1" w:styleId="sttlitera1">
    <w:name w:val="st_tlitera1"/>
    <w:rsid w:val="0019724F"/>
    <w:rPr>
      <w:color w:val="000000"/>
    </w:rPr>
  </w:style>
  <w:style w:type="paragraph" w:styleId="Title">
    <w:name w:val="Title"/>
    <w:basedOn w:val="Normal"/>
    <w:qFormat/>
    <w:rsid w:val="0019724F"/>
    <w:pPr>
      <w:spacing w:line="360" w:lineRule="auto"/>
      <w:jc w:val="center"/>
    </w:pPr>
    <w:rPr>
      <w:sz w:val="28"/>
      <w:lang w:val="en-US"/>
    </w:rPr>
  </w:style>
  <w:style w:type="paragraph" w:styleId="ListParagraph">
    <w:name w:val="List Paragraph"/>
    <w:basedOn w:val="Normal"/>
    <w:uiPriority w:val="34"/>
    <w:qFormat/>
    <w:rsid w:val="00B92AB6"/>
    <w:pPr>
      <w:ind w:left="720"/>
    </w:pPr>
  </w:style>
  <w:style w:type="character" w:customStyle="1" w:styleId="panchor2">
    <w:name w:val="panchor2"/>
    <w:rsid w:val="008B5B1A"/>
    <w:rPr>
      <w:rFonts w:ascii="Courier New" w:hAnsi="Courier New" w:cs="Courier New" w:hint="default"/>
      <w:color w:val="0000FF"/>
      <w:sz w:val="21"/>
      <w:szCs w:val="21"/>
      <w:u w:val="single"/>
    </w:rPr>
  </w:style>
  <w:style w:type="character" w:customStyle="1" w:styleId="panchorclicked2">
    <w:name w:val="panchorclicked2"/>
    <w:rsid w:val="00B23A59"/>
    <w:rPr>
      <w:rFonts w:ascii="Courier New" w:hAnsi="Courier New" w:cs="Courier New" w:hint="default"/>
      <w:color w:val="FF0000"/>
      <w:sz w:val="21"/>
      <w:szCs w:val="21"/>
      <w:u w:val="single"/>
      <w:shd w:val="clear" w:color="auto" w:fill="E0E0E0"/>
    </w:rPr>
  </w:style>
  <w:style w:type="paragraph" w:customStyle="1" w:styleId="paragraph">
    <w:name w:val="paragraph"/>
    <w:basedOn w:val="Normal"/>
    <w:rsid w:val="00175453"/>
    <w:pPr>
      <w:spacing w:before="100" w:beforeAutospacing="1" w:after="100" w:afterAutospacing="1"/>
    </w:pPr>
    <w:rPr>
      <w:lang w:val="en-US"/>
    </w:rPr>
  </w:style>
  <w:style w:type="character" w:customStyle="1" w:styleId="normaltextrun">
    <w:name w:val="normaltextrun"/>
    <w:rsid w:val="00175453"/>
  </w:style>
  <w:style w:type="character" w:customStyle="1" w:styleId="eop">
    <w:name w:val="eop"/>
    <w:rsid w:val="00175453"/>
  </w:style>
  <w:style w:type="character" w:customStyle="1" w:styleId="spellingerror">
    <w:name w:val="spellingerror"/>
    <w:rsid w:val="00175453"/>
  </w:style>
  <w:style w:type="paragraph" w:styleId="NormalWeb">
    <w:name w:val="Normal (Web)"/>
    <w:basedOn w:val="Normal"/>
    <w:uiPriority w:val="99"/>
    <w:unhideWhenUsed/>
    <w:rsid w:val="00175876"/>
    <w:pPr>
      <w:spacing w:before="100" w:beforeAutospacing="1" w:after="100" w:afterAutospacing="1"/>
    </w:pPr>
    <w:rPr>
      <w:lang w:eastAsia="ro-RO"/>
    </w:rPr>
  </w:style>
  <w:style w:type="character" w:customStyle="1" w:styleId="rvts6">
    <w:name w:val="rvts6"/>
    <w:rsid w:val="00175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3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06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06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99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3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693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7027F-E2B5-4C6F-9FA9-ADA153C2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2212</Words>
  <Characters>12611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Audit</Company>
  <LinksUpToDate>false</LinksUpToDate>
  <CharactersWithSpaces>14794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x</dc:creator>
  <cp:keywords/>
  <cp:lastModifiedBy>Máthé László</cp:lastModifiedBy>
  <cp:revision>2</cp:revision>
  <cp:lastPrinted>2015-07-24T08:52:00Z</cp:lastPrinted>
  <dcterms:created xsi:type="dcterms:W3CDTF">2025-02-03T10:02:00Z</dcterms:created>
  <dcterms:modified xsi:type="dcterms:W3CDTF">2025-02-03T10:02:00Z</dcterms:modified>
</cp:coreProperties>
</file>